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80" w:rsidRDefault="00102D80" w:rsidP="00102D80">
      <w:pPr>
        <w:kinsoku w:val="0"/>
        <w:overflowPunct w:val="0"/>
        <w:ind w:left="480" w:hangingChars="200" w:hanging="480"/>
        <w:rPr>
          <w:rFonts w:ascii="標楷體" w:eastAsia="標楷體" w:hAnsi="標楷體" w:cs="微軟正黑體"/>
          <w:b/>
          <w:bCs/>
          <w:szCs w:val="24"/>
        </w:rPr>
      </w:pPr>
      <w:bookmarkStart w:id="0" w:name="_GoBack"/>
      <w:r>
        <w:rPr>
          <w:rFonts w:ascii="標楷體" w:eastAsia="標楷體" w:hAnsi="標楷體" w:cs="微軟正黑體" w:hint="eastAsia"/>
          <w:b/>
          <w:bCs/>
          <w:szCs w:val="24"/>
        </w:rPr>
        <w:t>1</w:t>
      </w:r>
      <w:r>
        <w:rPr>
          <w:rFonts w:ascii="標楷體" w:eastAsia="標楷體" w:hAnsi="標楷體" w:cs="微軟正黑體"/>
          <w:b/>
          <w:bCs/>
          <w:szCs w:val="24"/>
        </w:rPr>
        <w:t>351265-</w:t>
      </w:r>
      <w:r>
        <w:rPr>
          <w:rFonts w:ascii="標楷體" w:eastAsia="標楷體" w:hAnsi="標楷體" w:cs="微軟正黑體" w:hint="eastAsia"/>
          <w:b/>
          <w:bCs/>
          <w:szCs w:val="24"/>
          <w:lang w:eastAsia="zh-HK"/>
        </w:rPr>
        <w:t>信</w:t>
      </w:r>
      <w:r>
        <w:rPr>
          <w:rFonts w:ascii="標楷體" w:eastAsia="標楷體" w:hAnsi="標楷體" w:cs="微軟正黑體" w:hint="eastAsia"/>
          <w:b/>
          <w:bCs/>
          <w:szCs w:val="24"/>
        </w:rPr>
        <w:t>10-</w:t>
      </w:r>
      <w:r w:rsidRPr="00BE57DC">
        <w:rPr>
          <w:rFonts w:ascii="標楷體" w:eastAsia="標楷體" w:hAnsi="標楷體" w:cs="微軟正黑體" w:hint="eastAsia"/>
          <w:b/>
          <w:bCs/>
          <w:szCs w:val="24"/>
        </w:rPr>
        <w:t>有關登記於寺廟名義下之土地及房屋，即屬寺廟所有，至該寺廟之</w:t>
      </w:r>
      <w:bookmarkEnd w:id="0"/>
      <w:r w:rsidRPr="00BE57DC">
        <w:rPr>
          <w:rFonts w:ascii="標楷體" w:eastAsia="標楷體" w:hAnsi="標楷體" w:cs="微軟正黑體" w:hint="eastAsia"/>
          <w:b/>
          <w:bCs/>
          <w:szCs w:val="24"/>
        </w:rPr>
        <w:t>管理人，僅為其代表人，自非該土地及房屋之所有權人；另受託人死亡時，信託財產既不屬其遺產，且信託登記後受託人僅為名義上之所有權人，故該信託財產不應屬受託人所有，是以，前揭所述情形均不納入個人所有土地及房屋價值計算範疇。-國民年金法第 31 條</w:t>
      </w:r>
      <w:r>
        <w:rPr>
          <w:rFonts w:ascii="標楷體" w:eastAsia="標楷體" w:hAnsi="標楷體" w:cs="微軟正黑體" w:hint="eastAsia"/>
          <w:b/>
          <w:bCs/>
          <w:szCs w:val="24"/>
        </w:rPr>
        <w:t>-97-10-01-0970161971</w:t>
      </w:r>
      <w:r w:rsidRPr="00BE57DC">
        <w:rPr>
          <w:rFonts w:ascii="標楷體" w:eastAsia="標楷體" w:hAnsi="標楷體" w:cs="微軟正黑體" w:hint="eastAsia"/>
          <w:b/>
          <w:bCs/>
          <w:szCs w:val="24"/>
        </w:rPr>
        <w:t>號</w:t>
      </w:r>
    </w:p>
    <w:p w:rsidR="00102D80" w:rsidRDefault="00102D80" w:rsidP="00102D80">
      <w:pPr>
        <w:kinsoku w:val="0"/>
        <w:overflowPunct w:val="0"/>
        <w:ind w:left="400"/>
        <w:rPr>
          <w:rFonts w:ascii="標楷體" w:eastAsia="標楷體" w:hAnsi="標楷體" w:cs="微軟正黑體"/>
          <w:b/>
          <w:bCs/>
          <w:szCs w:val="24"/>
        </w:rPr>
      </w:pPr>
    </w:p>
    <w:p w:rsidR="00102D80" w:rsidRPr="00BB4911" w:rsidRDefault="00102D80" w:rsidP="00102D80">
      <w:pPr>
        <w:kinsoku w:val="0"/>
        <w:overflowPunct w:val="0"/>
        <w:ind w:left="400"/>
        <w:rPr>
          <w:rFonts w:ascii="標楷體" w:eastAsia="標楷體" w:hAnsi="標楷體" w:cs="微軟正黑體"/>
          <w:b/>
          <w:bCs/>
          <w:szCs w:val="24"/>
        </w:rPr>
      </w:pPr>
    </w:p>
    <w:p w:rsidR="00102D80" w:rsidRPr="00BB4911" w:rsidRDefault="00102D80" w:rsidP="00102D80">
      <w:pPr>
        <w:kinsoku w:val="0"/>
        <w:overflowPunct w:val="0"/>
        <w:spacing w:before="99" w:line="440" w:lineRule="exact"/>
        <w:ind w:left="400"/>
        <w:outlineLvl w:val="2"/>
        <w:rPr>
          <w:rFonts w:ascii="標楷體" w:eastAsia="標楷體" w:hAnsi="標楷體" w:cs="微軟正黑體"/>
          <w:b/>
          <w:bCs/>
          <w:szCs w:val="24"/>
        </w:rPr>
      </w:pPr>
      <w:bookmarkStart w:id="1" w:name="_Toc128286840"/>
      <w:r w:rsidRPr="00BB4911">
        <w:rPr>
          <w:rFonts w:ascii="標楷體" w:eastAsia="標楷體" w:hAnsi="標楷體" w:cs="Calibri"/>
          <w:b/>
          <w:bCs/>
          <w:szCs w:val="24"/>
        </w:rPr>
        <w:t xml:space="preserve">1. </w:t>
      </w:r>
      <w:bookmarkStart w:id="2" w:name="_Hlk128287229"/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265</w:t>
      </w:r>
      <w:bookmarkEnd w:id="2"/>
      <w:r w:rsidRPr="00BB4911">
        <w:rPr>
          <w:rFonts w:ascii="標楷體" w:eastAsia="標楷體" w:hAnsi="標楷體" w:cs="微軟正黑體" w:hint="eastAsia"/>
          <w:b/>
          <w:bCs/>
          <w:szCs w:val="24"/>
        </w:rPr>
        <w:t>【內政部</w:t>
      </w:r>
      <w:r w:rsidRPr="00BB4911">
        <w:rPr>
          <w:rFonts w:ascii="標楷體" w:eastAsia="標楷體" w:hAnsi="標楷體" w:cs="微軟正黑體"/>
          <w:b/>
          <w:bCs/>
          <w:szCs w:val="24"/>
        </w:rPr>
        <w:t xml:space="preserve"> 97 </w:t>
      </w:r>
      <w:r w:rsidRPr="00BB4911">
        <w:rPr>
          <w:rFonts w:ascii="標楷體" w:eastAsia="標楷體" w:hAnsi="標楷體" w:cs="微軟正黑體" w:hint="eastAsia"/>
          <w:b/>
          <w:bCs/>
          <w:szCs w:val="24"/>
        </w:rPr>
        <w:t>年</w:t>
      </w:r>
      <w:r w:rsidRPr="00BB4911">
        <w:rPr>
          <w:rFonts w:ascii="標楷體" w:eastAsia="標楷體" w:hAnsi="標楷體" w:cs="微軟正黑體"/>
          <w:b/>
          <w:bCs/>
          <w:szCs w:val="24"/>
        </w:rPr>
        <w:t xml:space="preserve"> 10 </w:t>
      </w:r>
      <w:r w:rsidRPr="00BB4911">
        <w:rPr>
          <w:rFonts w:ascii="標楷體" w:eastAsia="標楷體" w:hAnsi="標楷體" w:cs="微軟正黑體" w:hint="eastAsia"/>
          <w:b/>
          <w:bCs/>
          <w:szCs w:val="24"/>
        </w:rPr>
        <w:t>月</w:t>
      </w:r>
      <w:r w:rsidRPr="00BB4911">
        <w:rPr>
          <w:rFonts w:ascii="標楷體" w:eastAsia="標楷體" w:hAnsi="標楷體" w:cs="微軟正黑體"/>
          <w:b/>
          <w:bCs/>
          <w:szCs w:val="24"/>
        </w:rPr>
        <w:t xml:space="preserve"> 1 </w:t>
      </w:r>
      <w:r w:rsidRPr="00BB4911">
        <w:rPr>
          <w:rFonts w:ascii="標楷體" w:eastAsia="標楷體" w:hAnsi="標楷體" w:cs="微軟正黑體" w:hint="eastAsia"/>
          <w:b/>
          <w:bCs/>
          <w:szCs w:val="24"/>
        </w:rPr>
        <w:t>日台內社字第</w:t>
      </w:r>
      <w:r w:rsidRPr="00BB4911">
        <w:rPr>
          <w:rFonts w:ascii="標楷體" w:eastAsia="標楷體" w:hAnsi="標楷體" w:cs="微軟正黑體"/>
          <w:b/>
          <w:bCs/>
          <w:szCs w:val="24"/>
        </w:rPr>
        <w:t xml:space="preserve"> 0970161971 </w:t>
      </w:r>
      <w:r w:rsidRPr="00BB4911">
        <w:rPr>
          <w:rFonts w:ascii="標楷體" w:eastAsia="標楷體" w:hAnsi="標楷體" w:cs="微軟正黑體" w:hint="eastAsia"/>
          <w:b/>
          <w:bCs/>
          <w:szCs w:val="24"/>
        </w:rPr>
        <w:t>號】</w:t>
      </w:r>
      <w:bookmarkEnd w:id="1"/>
    </w:p>
    <w:p w:rsidR="00102D80" w:rsidRPr="00BB4911" w:rsidRDefault="00102D80" w:rsidP="00102D80">
      <w:pPr>
        <w:kinsoku w:val="0"/>
        <w:overflowPunct w:val="0"/>
        <w:spacing w:line="256" w:lineRule="auto"/>
        <w:ind w:left="1032" w:right="226" w:hanging="632"/>
        <w:rPr>
          <w:rFonts w:ascii="標楷體" w:eastAsia="標楷體" w:hAnsi="標楷體"/>
          <w:szCs w:val="24"/>
        </w:rPr>
      </w:pPr>
      <w:r w:rsidRPr="00BB4911">
        <w:rPr>
          <w:rFonts w:ascii="標楷體" w:eastAsia="標楷體" w:hAnsi="標楷體" w:hint="eastAsia"/>
          <w:szCs w:val="24"/>
        </w:rPr>
        <w:t>要旨：有關登記於寺廟名義下之土地及房屋，即屬寺廟所有，至該寺廟之管理人，僅為其代表人，自非該土地及房屋之所有權人；另受託人死亡時，信託財產既不屬其遺產，且信託登記後受託人僅為名義上之所有權人，故該信託財產不應屬受託人所有，是以，前揭所述情形均不納入個人所有土地及房屋價值計算範疇。</w:t>
      </w:r>
      <w:r>
        <w:rPr>
          <w:rFonts w:ascii="標楷體" w:eastAsia="標楷體" w:hAnsi="標楷體" w:hint="eastAsia"/>
          <w:szCs w:val="24"/>
        </w:rPr>
        <w:t>-</w:t>
      </w:r>
      <w:r w:rsidRPr="00BE57DC">
        <w:rPr>
          <w:rFonts w:ascii="標楷體" w:eastAsia="標楷體" w:hAnsi="標楷體" w:hint="eastAsia"/>
          <w:szCs w:val="24"/>
        </w:rPr>
        <w:t>國民年金法第 31 條</w:t>
      </w:r>
    </w:p>
    <w:p w:rsidR="00102D80" w:rsidRPr="00BB4911" w:rsidRDefault="00102D80" w:rsidP="00102D80">
      <w:pPr>
        <w:kinsoku w:val="0"/>
        <w:overflowPunct w:val="0"/>
        <w:spacing w:before="3" w:line="256" w:lineRule="auto"/>
        <w:ind w:left="1032" w:right="226" w:hanging="632"/>
        <w:rPr>
          <w:rFonts w:ascii="標楷體" w:eastAsia="標楷體" w:hAnsi="標楷體"/>
          <w:szCs w:val="24"/>
        </w:rPr>
      </w:pPr>
      <w:r w:rsidRPr="00BB4911">
        <w:rPr>
          <w:rFonts w:ascii="標楷體" w:eastAsia="標楷體" w:hAnsi="標楷體" w:hint="eastAsia"/>
          <w:spacing w:val="-11"/>
          <w:szCs w:val="24"/>
        </w:rPr>
        <w:t>說明：有關國民年金法第</w:t>
      </w:r>
      <w:r w:rsidRPr="00BB4911">
        <w:rPr>
          <w:rFonts w:ascii="標楷體" w:eastAsia="標楷體" w:hAnsi="標楷體"/>
          <w:spacing w:val="-11"/>
          <w:szCs w:val="24"/>
        </w:rPr>
        <w:t xml:space="preserve"> </w:t>
      </w:r>
      <w:r w:rsidRPr="00BB4911">
        <w:rPr>
          <w:rFonts w:ascii="標楷體" w:eastAsia="標楷體" w:hAnsi="標楷體"/>
          <w:szCs w:val="24"/>
        </w:rPr>
        <w:t>31</w:t>
      </w:r>
      <w:r w:rsidRPr="00BB4911">
        <w:rPr>
          <w:rFonts w:ascii="標楷體" w:eastAsia="標楷體" w:hAnsi="標楷體"/>
          <w:spacing w:val="-31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31"/>
          <w:szCs w:val="24"/>
        </w:rPr>
        <w:t>條第</w:t>
      </w:r>
      <w:r w:rsidRPr="00BB4911">
        <w:rPr>
          <w:rFonts w:ascii="標楷體" w:eastAsia="標楷體" w:hAnsi="標楷體"/>
          <w:spacing w:val="-31"/>
          <w:szCs w:val="24"/>
        </w:rPr>
        <w:t xml:space="preserve"> </w:t>
      </w:r>
      <w:r w:rsidRPr="00BB4911">
        <w:rPr>
          <w:rFonts w:ascii="標楷體" w:eastAsia="標楷體" w:hAnsi="標楷體"/>
          <w:szCs w:val="24"/>
        </w:rPr>
        <w:t>1</w:t>
      </w:r>
      <w:r w:rsidRPr="00BB4911">
        <w:rPr>
          <w:rFonts w:ascii="標楷體" w:eastAsia="標楷體" w:hAnsi="標楷體"/>
          <w:spacing w:val="-31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31"/>
          <w:szCs w:val="24"/>
        </w:rPr>
        <w:t>項第</w:t>
      </w:r>
      <w:r w:rsidRPr="00BB4911">
        <w:rPr>
          <w:rFonts w:ascii="標楷體" w:eastAsia="標楷體" w:hAnsi="標楷體"/>
          <w:spacing w:val="-31"/>
          <w:szCs w:val="24"/>
        </w:rPr>
        <w:t xml:space="preserve"> </w:t>
      </w:r>
      <w:r w:rsidRPr="00BB4911">
        <w:rPr>
          <w:rFonts w:ascii="標楷體" w:eastAsia="標楷體" w:hAnsi="標楷體"/>
          <w:szCs w:val="24"/>
        </w:rPr>
        <w:t>5</w:t>
      </w:r>
      <w:r w:rsidRPr="00BB4911">
        <w:rPr>
          <w:rFonts w:ascii="標楷體" w:eastAsia="標楷體" w:hAnsi="標楷體"/>
          <w:spacing w:val="-12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2"/>
          <w:szCs w:val="24"/>
        </w:rPr>
        <w:t>款「個人所有土地及房屋價值」適</w:t>
      </w:r>
      <w:r w:rsidRPr="00BB4911">
        <w:rPr>
          <w:rFonts w:ascii="標楷體" w:eastAsia="標楷體" w:hAnsi="標楷體" w:hint="eastAsia"/>
          <w:szCs w:val="24"/>
        </w:rPr>
        <w:t>用疑義案。一、查依法已為寺廟登記之寺廟，縱未成立財團法人，得</w:t>
      </w:r>
      <w:r w:rsidRPr="00BB4911">
        <w:rPr>
          <w:rFonts w:ascii="標楷體" w:eastAsia="標楷體" w:hAnsi="標楷體" w:hint="eastAsia"/>
          <w:spacing w:val="-2"/>
          <w:szCs w:val="24"/>
        </w:rPr>
        <w:t>為權利主體，並得為土地建築物登記之權利人，前經本部</w:t>
      </w:r>
      <w:r w:rsidRPr="00BB4911">
        <w:rPr>
          <w:rFonts w:ascii="標楷體" w:eastAsia="標楷體" w:hAnsi="標楷體"/>
          <w:spacing w:val="-2"/>
          <w:szCs w:val="24"/>
        </w:rPr>
        <w:t xml:space="preserve"> </w:t>
      </w:r>
      <w:r w:rsidRPr="00BB4911">
        <w:rPr>
          <w:rFonts w:ascii="標楷體" w:eastAsia="標楷體" w:hAnsi="標楷體"/>
          <w:szCs w:val="24"/>
        </w:rPr>
        <w:t>71</w:t>
      </w:r>
      <w:r w:rsidRPr="00BB4911">
        <w:rPr>
          <w:rFonts w:ascii="標楷體" w:eastAsia="標楷體" w:hAnsi="標楷體"/>
          <w:spacing w:val="-33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33"/>
          <w:szCs w:val="24"/>
        </w:rPr>
        <w:t>年</w:t>
      </w:r>
      <w:r w:rsidRPr="00BB4911">
        <w:rPr>
          <w:rFonts w:ascii="標楷體" w:eastAsia="標楷體" w:hAnsi="標楷體"/>
          <w:spacing w:val="-33"/>
          <w:szCs w:val="24"/>
        </w:rPr>
        <w:t xml:space="preserve"> </w:t>
      </w:r>
      <w:r w:rsidRPr="00BB4911">
        <w:rPr>
          <w:rFonts w:ascii="標楷體" w:eastAsia="標楷體" w:hAnsi="標楷體"/>
          <w:szCs w:val="24"/>
        </w:rPr>
        <w:t>3</w:t>
      </w:r>
      <w:r w:rsidRPr="00BB4911">
        <w:rPr>
          <w:rFonts w:ascii="標楷體" w:eastAsia="標楷體" w:hAnsi="標楷體"/>
          <w:spacing w:val="-33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33"/>
          <w:szCs w:val="24"/>
        </w:rPr>
        <w:t>月</w:t>
      </w:r>
      <w:r w:rsidRPr="00BB4911">
        <w:rPr>
          <w:rFonts w:ascii="標楷體" w:eastAsia="標楷體" w:hAnsi="標楷體"/>
          <w:spacing w:val="-33"/>
          <w:szCs w:val="24"/>
        </w:rPr>
        <w:t xml:space="preserve"> </w:t>
      </w:r>
      <w:r w:rsidRPr="00BB4911">
        <w:rPr>
          <w:rFonts w:ascii="標楷體" w:eastAsia="標楷體" w:hAnsi="標楷體"/>
          <w:szCs w:val="24"/>
        </w:rPr>
        <w:t>8</w:t>
      </w:r>
    </w:p>
    <w:p w:rsidR="00102D80" w:rsidRPr="00BB4911" w:rsidRDefault="00102D80" w:rsidP="00102D80">
      <w:pPr>
        <w:kinsoku w:val="0"/>
        <w:overflowPunct w:val="0"/>
        <w:spacing w:before="3" w:line="256" w:lineRule="auto"/>
        <w:ind w:left="400" w:right="226"/>
        <w:rPr>
          <w:rFonts w:ascii="標楷體" w:eastAsia="標楷體" w:hAnsi="標楷體"/>
          <w:szCs w:val="24"/>
        </w:rPr>
      </w:pPr>
      <w:r w:rsidRPr="00BB4911">
        <w:rPr>
          <w:rFonts w:ascii="標楷體" w:eastAsia="標楷體" w:hAnsi="標楷體" w:hint="eastAsia"/>
          <w:spacing w:val="-1"/>
          <w:szCs w:val="24"/>
        </w:rPr>
        <w:t>日台內地字為</w:t>
      </w:r>
      <w:r w:rsidRPr="00BB4911">
        <w:rPr>
          <w:rFonts w:ascii="標楷體" w:eastAsia="標楷體" w:hAnsi="標楷體"/>
          <w:spacing w:val="-1"/>
          <w:szCs w:val="24"/>
        </w:rPr>
        <w:t xml:space="preserve"> </w:t>
      </w:r>
      <w:r w:rsidRPr="00BB4911">
        <w:rPr>
          <w:rFonts w:ascii="標楷體" w:eastAsia="標楷體" w:hAnsi="標楷體"/>
          <w:szCs w:val="24"/>
        </w:rPr>
        <w:t>70191</w:t>
      </w:r>
      <w:r w:rsidRPr="00BB4911">
        <w:rPr>
          <w:rFonts w:ascii="標楷體" w:eastAsia="標楷體" w:hAnsi="標楷體"/>
          <w:spacing w:val="-1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"/>
          <w:szCs w:val="24"/>
        </w:rPr>
        <w:t>號函釋在案，是以，登記於寺廟名義下之土地及</w:t>
      </w:r>
      <w:r w:rsidRPr="00BB4911">
        <w:rPr>
          <w:rFonts w:ascii="標楷體" w:eastAsia="標楷體" w:hAnsi="標楷體" w:hint="eastAsia"/>
          <w:szCs w:val="24"/>
        </w:rPr>
        <w:t>房屋，即屬寺廟所有，至該寺廟之管理人，僅為其代表人，自非該土地及房屋之所有權人。二、另有關因信託關係而移轉之土地及房屋部</w:t>
      </w:r>
      <w:r w:rsidRPr="00BB4911">
        <w:rPr>
          <w:rFonts w:ascii="標楷體" w:eastAsia="標楷體" w:hAnsi="標楷體" w:hint="eastAsia"/>
          <w:spacing w:val="-3"/>
          <w:szCs w:val="24"/>
        </w:rPr>
        <w:t>分，說明如下：</w:t>
      </w:r>
      <w:r w:rsidRPr="00BB4911">
        <w:rPr>
          <w:rFonts w:ascii="標楷體" w:eastAsia="標楷體" w:hAnsi="標楷體" w:hint="eastAsia"/>
          <w:spacing w:val="-21"/>
          <w:szCs w:val="24"/>
        </w:rPr>
        <w:t>（</w:t>
      </w:r>
      <w:r w:rsidRPr="00BB4911">
        <w:rPr>
          <w:rFonts w:ascii="標楷體" w:eastAsia="標楷體" w:hAnsi="標楷體" w:hint="eastAsia"/>
          <w:szCs w:val="24"/>
        </w:rPr>
        <w:t>一</w:t>
      </w:r>
      <w:r w:rsidRPr="00BB4911">
        <w:rPr>
          <w:rFonts w:ascii="標楷體" w:eastAsia="標楷體" w:hAnsi="標楷體" w:hint="eastAsia"/>
          <w:spacing w:val="-39"/>
          <w:szCs w:val="24"/>
        </w:rPr>
        <w:t>）</w:t>
      </w:r>
      <w:r w:rsidRPr="00BB4911">
        <w:rPr>
          <w:rFonts w:ascii="標楷體" w:eastAsia="標楷體" w:hAnsi="標楷體" w:hint="eastAsia"/>
          <w:spacing w:val="-8"/>
          <w:szCs w:val="24"/>
        </w:rPr>
        <w:t>按「稱信託者，謂委託人將財產權移轉或為其他</w:t>
      </w:r>
      <w:r w:rsidRPr="00BB4911">
        <w:rPr>
          <w:rFonts w:ascii="標楷體" w:eastAsia="標楷體" w:hAnsi="標楷體" w:hint="eastAsia"/>
          <w:szCs w:val="24"/>
        </w:rPr>
        <w:t>處分，使受託人依信託本旨，為受益人之利益或為特定之目的，管理或處分信託財產之關係。」、「受託人不得以任何名義，享有信託利</w:t>
      </w:r>
      <w:r w:rsidRPr="00BB4911">
        <w:rPr>
          <w:rFonts w:ascii="標楷體" w:eastAsia="標楷體" w:hAnsi="標楷體" w:hint="eastAsia"/>
          <w:spacing w:val="-7"/>
          <w:szCs w:val="24"/>
        </w:rPr>
        <w:t>益。」分為信託法第</w:t>
      </w:r>
      <w:r w:rsidRPr="00BB4911">
        <w:rPr>
          <w:rFonts w:ascii="標楷體" w:eastAsia="標楷體" w:hAnsi="標楷體"/>
          <w:spacing w:val="-7"/>
          <w:szCs w:val="24"/>
        </w:rPr>
        <w:t xml:space="preserve"> </w:t>
      </w:r>
      <w:r w:rsidRPr="00BB4911">
        <w:rPr>
          <w:rFonts w:ascii="標楷體" w:eastAsia="標楷體" w:hAnsi="標楷體"/>
          <w:szCs w:val="24"/>
        </w:rPr>
        <w:t>1</w:t>
      </w:r>
      <w:r w:rsidRPr="00BB4911">
        <w:rPr>
          <w:rFonts w:ascii="標楷體" w:eastAsia="標楷體" w:hAnsi="標楷體"/>
          <w:spacing w:val="-25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25"/>
          <w:szCs w:val="24"/>
        </w:rPr>
        <w:t>條、第</w:t>
      </w:r>
      <w:r w:rsidRPr="00BB4911">
        <w:rPr>
          <w:rFonts w:ascii="標楷體" w:eastAsia="標楷體" w:hAnsi="標楷體"/>
          <w:spacing w:val="-25"/>
          <w:szCs w:val="24"/>
        </w:rPr>
        <w:t xml:space="preserve"> </w:t>
      </w:r>
      <w:r w:rsidRPr="00BB4911">
        <w:rPr>
          <w:rFonts w:ascii="標楷體" w:eastAsia="標楷體" w:hAnsi="標楷體"/>
          <w:szCs w:val="24"/>
        </w:rPr>
        <w:t>34</w:t>
      </w:r>
      <w:r w:rsidRPr="00BB4911">
        <w:rPr>
          <w:rFonts w:ascii="標楷體" w:eastAsia="標楷體" w:hAnsi="標楷體"/>
          <w:spacing w:val="-8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8"/>
          <w:szCs w:val="24"/>
        </w:rPr>
        <w:t>條前段所明定，準此，信託關係之成</w:t>
      </w:r>
      <w:r w:rsidRPr="00BB4911">
        <w:rPr>
          <w:rFonts w:ascii="標楷體" w:eastAsia="標楷體" w:hAnsi="標楷體" w:hint="eastAsia"/>
          <w:szCs w:val="24"/>
        </w:rPr>
        <w:t>立，除受託人須依信託本旨，為受益人之利益或為特定之目的，積極</w:t>
      </w:r>
    </w:p>
    <w:p w:rsidR="00102D80" w:rsidRPr="00BB4911" w:rsidRDefault="00102D80" w:rsidP="00102D80">
      <w:pPr>
        <w:kinsoku w:val="0"/>
        <w:overflowPunct w:val="0"/>
        <w:spacing w:before="3" w:line="256" w:lineRule="auto"/>
        <w:ind w:left="400" w:right="226"/>
        <w:rPr>
          <w:rFonts w:ascii="標楷體" w:eastAsia="標楷體" w:hAnsi="標楷體"/>
          <w:szCs w:val="24"/>
        </w:rPr>
        <w:sectPr w:rsidR="00102D80" w:rsidRPr="00BB4911">
          <w:pgSz w:w="11900" w:h="16840"/>
          <w:pgMar w:top="1420" w:right="1560" w:bottom="1220" w:left="1680" w:header="0" w:footer="1021" w:gutter="0"/>
          <w:cols w:space="720"/>
          <w:noEndnote/>
        </w:sectPr>
      </w:pPr>
    </w:p>
    <w:p w:rsidR="00102D80" w:rsidRPr="00BB4911" w:rsidRDefault="00102D80" w:rsidP="00102D80">
      <w:pPr>
        <w:kinsoku w:val="0"/>
        <w:overflowPunct w:val="0"/>
        <w:spacing w:before="32" w:line="256" w:lineRule="auto"/>
        <w:ind w:left="400" w:right="226"/>
        <w:rPr>
          <w:rFonts w:ascii="標楷體" w:eastAsia="標楷體" w:hAnsi="標楷體"/>
          <w:szCs w:val="24"/>
        </w:rPr>
      </w:pPr>
      <w:r w:rsidRPr="00BB4911">
        <w:rPr>
          <w:rFonts w:ascii="標楷體" w:eastAsia="標楷體" w:hAnsi="標楷體" w:hint="eastAsia"/>
          <w:szCs w:val="24"/>
        </w:rPr>
        <w:lastRenderedPageBreak/>
        <w:t>管理或處分信託財產之義務外，尚須有委託人將財產權移轉或為其他處分予以受託人，但因信託財產有其獨立性，故信託登記後受託人僅為名義上之所有權人。（二）</w:t>
      </w:r>
      <w:r w:rsidRPr="00BB4911">
        <w:rPr>
          <w:rFonts w:ascii="標楷體" w:eastAsia="標楷體" w:hAnsi="標楷體" w:hint="eastAsia"/>
          <w:spacing w:val="-11"/>
          <w:szCs w:val="24"/>
        </w:rPr>
        <w:t>復依同法第</w:t>
      </w:r>
      <w:r w:rsidRPr="00BB4911">
        <w:rPr>
          <w:rFonts w:ascii="標楷體" w:eastAsia="標楷體" w:hAnsi="標楷體"/>
          <w:spacing w:val="-11"/>
          <w:szCs w:val="24"/>
        </w:rPr>
        <w:t xml:space="preserve"> </w:t>
      </w:r>
      <w:r w:rsidRPr="00BB4911">
        <w:rPr>
          <w:rFonts w:ascii="標楷體" w:eastAsia="標楷體" w:hAnsi="標楷體"/>
          <w:szCs w:val="24"/>
        </w:rPr>
        <w:t>10</w:t>
      </w:r>
      <w:r w:rsidRPr="00BB4911">
        <w:rPr>
          <w:rFonts w:ascii="標楷體" w:eastAsia="標楷體" w:hAnsi="標楷體"/>
          <w:spacing w:val="-8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8"/>
          <w:szCs w:val="24"/>
        </w:rPr>
        <w:t>條規定，受託人死亡時，</w:t>
      </w:r>
      <w:r w:rsidRPr="00BB4911">
        <w:rPr>
          <w:rFonts w:ascii="標楷體" w:eastAsia="標楷體" w:hAnsi="標楷體"/>
          <w:spacing w:val="-8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3"/>
          <w:szCs w:val="24"/>
        </w:rPr>
        <w:t>信託財產不屬於其遺產。</w:t>
      </w:r>
      <w:r w:rsidRPr="00BB4911">
        <w:rPr>
          <w:rFonts w:ascii="標楷體" w:eastAsia="標楷體" w:hAnsi="標楷體" w:hint="eastAsia"/>
          <w:szCs w:val="24"/>
        </w:rPr>
        <w:t>（三</w:t>
      </w:r>
      <w:r w:rsidRPr="00BB4911">
        <w:rPr>
          <w:rFonts w:ascii="標楷體" w:eastAsia="標楷體" w:hAnsi="標楷體" w:hint="eastAsia"/>
          <w:spacing w:val="-60"/>
          <w:szCs w:val="24"/>
        </w:rPr>
        <w:t>）</w:t>
      </w:r>
      <w:r w:rsidRPr="00BB4911">
        <w:rPr>
          <w:rFonts w:ascii="標楷體" w:eastAsia="標楷體" w:hAnsi="標楷體" w:hint="eastAsia"/>
          <w:szCs w:val="24"/>
        </w:rPr>
        <w:t>綜上既不屬其遺產，且信託登記後受託人僅為名義上所有權人，是以，該信託財產即不應屬受託人所有。</w:t>
      </w:r>
    </w:p>
    <w:p w:rsidR="00343A25" w:rsidRPr="00102D80" w:rsidRDefault="00343A25"/>
    <w:sectPr w:rsidR="00343A25" w:rsidRPr="00102D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D80" w:rsidRDefault="00102D80" w:rsidP="00102D80">
      <w:r>
        <w:separator/>
      </w:r>
    </w:p>
  </w:endnote>
  <w:endnote w:type="continuationSeparator" w:id="0">
    <w:p w:rsidR="00102D80" w:rsidRDefault="00102D80" w:rsidP="0010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D80" w:rsidRDefault="00102D80" w:rsidP="00102D80">
      <w:r>
        <w:separator/>
      </w:r>
    </w:p>
  </w:footnote>
  <w:footnote w:type="continuationSeparator" w:id="0">
    <w:p w:rsidR="00102D80" w:rsidRDefault="00102D80" w:rsidP="0010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A3"/>
    <w:rsid w:val="00102D80"/>
    <w:rsid w:val="00337BA3"/>
    <w:rsid w:val="00343A25"/>
    <w:rsid w:val="006C21FA"/>
    <w:rsid w:val="00D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8488FD2-634F-4181-A777-D948E829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D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2D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2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2D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2026-01-13T01:56:00Z</dcterms:created>
  <dcterms:modified xsi:type="dcterms:W3CDTF">2026-01-13T01:56:00Z</dcterms:modified>
</cp:coreProperties>
</file>