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64" w:rsidRPr="00BB4911" w:rsidRDefault="002A4F64" w:rsidP="002A4F64">
      <w:pPr>
        <w:kinsoku w:val="0"/>
        <w:overflowPunct w:val="0"/>
        <w:spacing w:before="1"/>
        <w:outlineLvl w:val="2"/>
        <w:rPr>
          <w:rFonts w:ascii="標楷體" w:eastAsia="標楷體" w:hAnsi="標楷體"/>
          <w:sz w:val="24"/>
          <w:szCs w:val="24"/>
        </w:rPr>
      </w:pPr>
      <w:bookmarkStart w:id="0" w:name="_Toc128286852"/>
      <w:r w:rsidRPr="00BB4911">
        <w:rPr>
          <w:rFonts w:ascii="標楷體" w:eastAsia="標楷體" w:hAnsi="標楷體" w:hint="eastAsia"/>
          <w:sz w:val="24"/>
          <w:szCs w:val="24"/>
        </w:rPr>
        <w:t>【</w:t>
      </w:r>
      <w:r>
        <w:rPr>
          <w:rFonts w:ascii="標楷體" w:eastAsia="標楷體" w:hAnsi="標楷體" w:hint="eastAsia"/>
          <w:sz w:val="24"/>
          <w:szCs w:val="24"/>
        </w:rPr>
        <w:t>行政函釋</w:t>
      </w:r>
      <w:r w:rsidRPr="00BB4911">
        <w:rPr>
          <w:rFonts w:ascii="標楷體" w:eastAsia="標楷體" w:hAnsi="標楷體" w:hint="eastAsia"/>
          <w:sz w:val="24"/>
          <w:szCs w:val="24"/>
        </w:rPr>
        <w:t>】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-3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1351272-1-信12-</w:t>
      </w:r>
      <w:r w:rsidRPr="00BB4911">
        <w:rPr>
          <w:rFonts w:ascii="標楷體" w:eastAsia="標楷體" w:hAnsi="標楷體" w:hint="eastAsia"/>
          <w:spacing w:val="-7"/>
          <w:sz w:val="24"/>
          <w:szCs w:val="24"/>
        </w:rPr>
        <w:t>民法第</w:t>
      </w:r>
      <w:r w:rsidRPr="00BB4911">
        <w:rPr>
          <w:rFonts w:ascii="標楷體" w:eastAsia="標楷體" w:hAnsi="標楷體"/>
          <w:spacing w:val="-7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242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0"/>
          <w:sz w:val="24"/>
          <w:szCs w:val="24"/>
        </w:rPr>
        <w:t>條前段定有明文。關於債權人得否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代位終止信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-3"/>
          <w:sz w:val="24"/>
          <w:szCs w:val="24"/>
        </w:rPr>
      </w:pPr>
      <w:r w:rsidRPr="00BB4911">
        <w:rPr>
          <w:rFonts w:ascii="標楷體" w:eastAsia="標楷體" w:hAnsi="標楷體" w:hint="eastAsia"/>
          <w:spacing w:val="-3"/>
          <w:sz w:val="24"/>
          <w:szCs w:val="24"/>
        </w:rPr>
        <w:t>託契約乙節，實務上似認為如符合前開民法第</w:t>
      </w:r>
      <w:r w:rsidRPr="00BB4911">
        <w:rPr>
          <w:rFonts w:ascii="標楷體" w:eastAsia="標楷體" w:hAnsi="標楷體"/>
          <w:spacing w:val="-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242</w:t>
      </w:r>
      <w:r w:rsidRPr="00BB4911">
        <w:rPr>
          <w:rFonts w:ascii="標楷體" w:eastAsia="標楷體" w:hAnsi="標楷體"/>
          <w:spacing w:val="-45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pacing w:val="-45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5"/>
          <w:sz w:val="24"/>
          <w:szCs w:val="24"/>
        </w:rPr>
        <w:t>條</w:t>
      </w:r>
      <w:r>
        <w:rPr>
          <w:rFonts w:ascii="標楷體" w:eastAsia="標楷體" w:hAnsi="標楷體" w:hint="eastAsia"/>
          <w:spacing w:val="-45"/>
          <w:sz w:val="24"/>
          <w:szCs w:val="24"/>
        </w:rPr>
        <w:t xml:space="preserve">   </w:t>
      </w:r>
      <w:r w:rsidRPr="00BB4911">
        <w:rPr>
          <w:rFonts w:ascii="標楷體" w:eastAsia="標楷體" w:hAnsi="標楷體" w:hint="eastAsia"/>
          <w:spacing w:val="-1"/>
          <w:sz w:val="24"/>
          <w:szCs w:val="24"/>
        </w:rPr>
        <w:t>規定之要件，即須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（</w:t>
      </w:r>
      <w:r w:rsidRPr="00BB4911">
        <w:rPr>
          <w:rFonts w:ascii="標楷體" w:eastAsia="標楷體" w:hAnsi="標楷體"/>
          <w:spacing w:val="-3"/>
          <w:sz w:val="24"/>
          <w:szCs w:val="24"/>
        </w:rPr>
        <w:t>1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z w:val="24"/>
          <w:szCs w:val="24"/>
        </w:rPr>
      </w:pPr>
      <w:r w:rsidRPr="00BB4911">
        <w:rPr>
          <w:rFonts w:ascii="標楷體" w:eastAsia="標楷體" w:hAnsi="標楷體" w:hint="eastAsia"/>
          <w:spacing w:val="-3"/>
          <w:sz w:val="24"/>
          <w:szCs w:val="24"/>
        </w:rPr>
        <w:t>）</w:t>
      </w:r>
      <w:r w:rsidRPr="00BB4911">
        <w:rPr>
          <w:rFonts w:ascii="標楷體" w:eastAsia="標楷體" w:hAnsi="標楷體" w:hint="eastAsia"/>
          <w:spacing w:val="-1"/>
          <w:sz w:val="24"/>
          <w:szCs w:val="24"/>
        </w:rPr>
        <w:t>債權人有保全債權之必要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（</w:t>
      </w:r>
      <w:r w:rsidRPr="00BB4911">
        <w:rPr>
          <w:rFonts w:ascii="標楷體" w:eastAsia="標楷體" w:hAnsi="標楷體"/>
          <w:spacing w:val="-3"/>
          <w:sz w:val="24"/>
          <w:szCs w:val="24"/>
        </w:rPr>
        <w:t>2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）債務人怠</w:t>
      </w:r>
      <w:r w:rsidRPr="00BB4911">
        <w:rPr>
          <w:rFonts w:ascii="標楷體" w:eastAsia="標楷體" w:hAnsi="標楷體" w:hint="eastAsia"/>
          <w:sz w:val="24"/>
          <w:szCs w:val="24"/>
        </w:rPr>
        <w:t>於行使其權利</w:t>
      </w:r>
      <w:r w:rsidRPr="00BB4911">
        <w:rPr>
          <w:rFonts w:ascii="標楷體" w:eastAsia="標楷體" w:hAnsi="標楷體" w:hint="eastAsia"/>
          <w:spacing w:val="2"/>
          <w:sz w:val="24"/>
          <w:szCs w:val="24"/>
        </w:rPr>
        <w:t>（</w:t>
      </w:r>
      <w:r w:rsidRPr="00BB4911">
        <w:rPr>
          <w:rFonts w:ascii="標楷體" w:eastAsia="標楷體" w:hAnsi="標楷體"/>
          <w:spacing w:val="2"/>
          <w:sz w:val="24"/>
          <w:szCs w:val="24"/>
        </w:rPr>
        <w:t>3</w:t>
      </w:r>
      <w:r w:rsidRPr="00BB4911">
        <w:rPr>
          <w:rFonts w:ascii="標楷體" w:eastAsia="標楷體" w:hAnsi="標楷體" w:hint="eastAsia"/>
          <w:spacing w:val="2"/>
          <w:sz w:val="24"/>
          <w:szCs w:val="24"/>
        </w:rPr>
        <w:t>）</w:t>
      </w:r>
      <w:r w:rsidRPr="00BB4911">
        <w:rPr>
          <w:rFonts w:ascii="標楷體" w:eastAsia="標楷體" w:hAnsi="標楷體" w:hint="eastAsia"/>
          <w:sz w:val="24"/>
          <w:szCs w:val="24"/>
        </w:rPr>
        <w:t>債務人已負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-7"/>
          <w:sz w:val="24"/>
          <w:szCs w:val="24"/>
        </w:rPr>
      </w:pPr>
      <w:r w:rsidRPr="00BB4911">
        <w:rPr>
          <w:rFonts w:ascii="標楷體" w:eastAsia="標楷體" w:hAnsi="標楷體" w:hint="eastAsia"/>
          <w:sz w:val="24"/>
          <w:szCs w:val="24"/>
        </w:rPr>
        <w:t>遲延責任者，債權人應得代位終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止信託契約。另查信託法第</w:t>
      </w:r>
      <w:r w:rsidRPr="00BB4911">
        <w:rPr>
          <w:rFonts w:ascii="標楷體" w:eastAsia="標楷體" w:hAnsi="標楷體"/>
          <w:spacing w:val="-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12</w:t>
      </w:r>
      <w:r w:rsidRPr="00BB4911">
        <w:rPr>
          <w:rFonts w:ascii="標楷體" w:eastAsia="標楷體" w:hAnsi="標楷體"/>
          <w:spacing w:val="-2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20"/>
          <w:sz w:val="24"/>
          <w:szCs w:val="24"/>
        </w:rPr>
        <w:t>條第</w:t>
      </w:r>
      <w:r w:rsidRPr="00BB4911">
        <w:rPr>
          <w:rFonts w:ascii="標楷體" w:eastAsia="標楷體" w:hAnsi="標楷體"/>
          <w:spacing w:val="-20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-7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7"/>
          <w:sz w:val="24"/>
          <w:szCs w:val="24"/>
        </w:rPr>
        <w:t>項本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-5"/>
          <w:sz w:val="24"/>
          <w:szCs w:val="24"/>
        </w:rPr>
      </w:pPr>
      <w:r w:rsidRPr="00BB4911">
        <w:rPr>
          <w:rFonts w:ascii="標楷體" w:eastAsia="標楷體" w:hAnsi="標楷體" w:hint="eastAsia"/>
          <w:spacing w:val="-7"/>
          <w:sz w:val="24"/>
          <w:szCs w:val="24"/>
        </w:rPr>
        <w:t>文規定：「對信託財</w:t>
      </w:r>
      <w:r w:rsidRPr="00BB4911">
        <w:rPr>
          <w:rFonts w:ascii="標楷體" w:eastAsia="標楷體" w:hAnsi="標楷體" w:hint="eastAsia"/>
          <w:spacing w:val="-5"/>
          <w:sz w:val="24"/>
          <w:szCs w:val="24"/>
        </w:rPr>
        <w:t>產不得強制執行。」所稱信託財產，實務見解亦認為與信</w:t>
      </w:r>
    </w:p>
    <w:p w:rsidR="002A4F64" w:rsidRP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z w:val="24"/>
          <w:szCs w:val="24"/>
        </w:rPr>
      </w:pPr>
      <w:r w:rsidRPr="00BB4911">
        <w:rPr>
          <w:rFonts w:ascii="標楷體" w:eastAsia="標楷體" w:hAnsi="標楷體" w:hint="eastAsia"/>
          <w:spacing w:val="-5"/>
          <w:sz w:val="24"/>
          <w:szCs w:val="24"/>
        </w:rPr>
        <w:t>託受益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權係不同之財產權。</w:t>
      </w:r>
      <w:r w:rsidR="00AC71BD">
        <w:rPr>
          <w:rFonts w:ascii="標楷體" w:eastAsia="標楷體" w:hAnsi="標楷體" w:hint="eastAsia"/>
          <w:spacing w:val="6"/>
          <w:sz w:val="24"/>
          <w:szCs w:val="24"/>
        </w:rPr>
        <w:t>100年2月9日</w:t>
      </w:r>
      <w:r w:rsidR="00AC71BD" w:rsidRPr="00BB4911">
        <w:rPr>
          <w:rFonts w:ascii="標楷體" w:eastAsia="標楷體" w:hAnsi="標楷體" w:hint="eastAsia"/>
          <w:sz w:val="24"/>
          <w:szCs w:val="24"/>
        </w:rPr>
        <w:t>法律決字第</w:t>
      </w:r>
      <w:r w:rsidR="00AC71BD" w:rsidRPr="00BB4911">
        <w:rPr>
          <w:rFonts w:ascii="標楷體" w:eastAsia="標楷體" w:hAnsi="標楷體"/>
          <w:sz w:val="24"/>
          <w:szCs w:val="24"/>
        </w:rPr>
        <w:t xml:space="preserve"> 0990700822 </w:t>
      </w:r>
      <w:r w:rsidR="00AC71BD" w:rsidRPr="00BB4911">
        <w:rPr>
          <w:rFonts w:ascii="標楷體" w:eastAsia="標楷體" w:hAnsi="標楷體" w:hint="eastAsia"/>
          <w:sz w:val="24"/>
          <w:szCs w:val="24"/>
        </w:rPr>
        <w:t>號</w:t>
      </w:r>
      <w:bookmarkStart w:id="1" w:name="_GoBack"/>
      <w:bookmarkEnd w:id="1"/>
    </w:p>
    <w:p w:rsidR="002A4F64" w:rsidRPr="002A4F64" w:rsidRDefault="002A4F64" w:rsidP="002A4F64">
      <w:pPr>
        <w:kinsoku w:val="0"/>
        <w:overflowPunct w:val="0"/>
        <w:spacing w:before="1"/>
        <w:outlineLvl w:val="2"/>
        <w:rPr>
          <w:rFonts w:ascii="標楷體" w:eastAsia="標楷體" w:hAnsi="標楷體" w:hint="eastAsia"/>
          <w:sz w:val="24"/>
          <w:szCs w:val="24"/>
        </w:rPr>
      </w:pPr>
    </w:p>
    <w:p w:rsidR="002A4F64" w:rsidRPr="00BB4911" w:rsidRDefault="002A4F64" w:rsidP="002A4F64">
      <w:pPr>
        <w:kinsoku w:val="0"/>
        <w:overflowPunct w:val="0"/>
        <w:spacing w:before="1"/>
        <w:outlineLvl w:val="2"/>
        <w:rPr>
          <w:rFonts w:ascii="標楷體" w:eastAsia="標楷體" w:hAnsi="標楷體"/>
          <w:sz w:val="24"/>
          <w:szCs w:val="24"/>
        </w:rPr>
      </w:pPr>
      <w:r w:rsidRPr="00BB4911">
        <w:rPr>
          <w:rFonts w:ascii="標楷體" w:eastAsia="標楷體" w:hAnsi="標楷體"/>
          <w:sz w:val="24"/>
          <w:szCs w:val="24"/>
        </w:rPr>
        <w:t xml:space="preserve">2. </w:t>
      </w:r>
      <w:r>
        <w:rPr>
          <w:rFonts w:ascii="標楷體" w:eastAsia="標楷體" w:hAnsi="標楷體"/>
          <w:sz w:val="24"/>
          <w:szCs w:val="24"/>
        </w:rPr>
        <w:t>272-</w:t>
      </w:r>
      <w:r w:rsidRPr="00BB4911">
        <w:rPr>
          <w:rFonts w:ascii="標楷體" w:eastAsia="標楷體" w:hAnsi="標楷體" w:hint="eastAsia"/>
          <w:sz w:val="24"/>
          <w:szCs w:val="24"/>
        </w:rPr>
        <w:t>【法務部</w:t>
      </w:r>
      <w:r w:rsidRPr="00BB4911">
        <w:rPr>
          <w:rFonts w:ascii="標楷體" w:eastAsia="標楷體" w:hAnsi="標楷體"/>
          <w:sz w:val="24"/>
          <w:szCs w:val="24"/>
        </w:rPr>
        <w:t xml:space="preserve"> 100 </w:t>
      </w:r>
      <w:r w:rsidRPr="00BB4911">
        <w:rPr>
          <w:rFonts w:ascii="標楷體" w:eastAsia="標楷體" w:hAnsi="標楷體" w:hint="eastAsia"/>
          <w:sz w:val="24"/>
          <w:szCs w:val="24"/>
        </w:rPr>
        <w:t>年</w:t>
      </w:r>
      <w:r w:rsidRPr="00BB4911">
        <w:rPr>
          <w:rFonts w:ascii="標楷體" w:eastAsia="標楷體" w:hAnsi="標楷體"/>
          <w:sz w:val="24"/>
          <w:szCs w:val="24"/>
        </w:rPr>
        <w:t xml:space="preserve"> 2 </w:t>
      </w:r>
      <w:r w:rsidRPr="00BB4911">
        <w:rPr>
          <w:rFonts w:ascii="標楷體" w:eastAsia="標楷體" w:hAnsi="標楷體" w:hint="eastAsia"/>
          <w:sz w:val="24"/>
          <w:szCs w:val="24"/>
        </w:rPr>
        <w:t>月</w:t>
      </w:r>
      <w:r w:rsidRPr="00BB4911">
        <w:rPr>
          <w:rFonts w:ascii="標楷體" w:eastAsia="標楷體" w:hAnsi="標楷體"/>
          <w:sz w:val="24"/>
          <w:szCs w:val="24"/>
        </w:rPr>
        <w:t xml:space="preserve"> 9 </w:t>
      </w:r>
      <w:r w:rsidRPr="00BB4911">
        <w:rPr>
          <w:rFonts w:ascii="標楷體" w:eastAsia="標楷體" w:hAnsi="標楷體" w:hint="eastAsia"/>
          <w:sz w:val="24"/>
          <w:szCs w:val="24"/>
        </w:rPr>
        <w:t>日法律決字第</w:t>
      </w:r>
      <w:r w:rsidRPr="00BB4911">
        <w:rPr>
          <w:rFonts w:ascii="標楷體" w:eastAsia="標楷體" w:hAnsi="標楷體"/>
          <w:sz w:val="24"/>
          <w:szCs w:val="24"/>
        </w:rPr>
        <w:t xml:space="preserve"> 0990700822 </w:t>
      </w:r>
      <w:r w:rsidRPr="00BB4911">
        <w:rPr>
          <w:rFonts w:ascii="標楷體" w:eastAsia="標楷體" w:hAnsi="標楷體" w:hint="eastAsia"/>
          <w:sz w:val="24"/>
          <w:szCs w:val="24"/>
        </w:rPr>
        <w:t>號】</w:t>
      </w:r>
      <w:bookmarkEnd w:id="0"/>
    </w:p>
    <w:p w:rsidR="002A4F64" w:rsidRPr="00BB4911" w:rsidRDefault="002A4F64" w:rsidP="002A4F64">
      <w:pPr>
        <w:kinsoku w:val="0"/>
        <w:overflowPunct w:val="0"/>
        <w:spacing w:before="2" w:line="256" w:lineRule="auto"/>
        <w:ind w:left="1173" w:right="224" w:hanging="773"/>
        <w:rPr>
          <w:rFonts w:ascii="標楷體" w:eastAsia="標楷體" w:hAnsi="標楷體"/>
          <w:sz w:val="24"/>
          <w:szCs w:val="24"/>
        </w:rPr>
      </w:pPr>
      <w:r w:rsidRPr="00BB4911">
        <w:rPr>
          <w:rFonts w:ascii="標楷體" w:eastAsia="標楷體" w:hAnsi="標楷體" w:hint="eastAsia"/>
          <w:sz w:val="24"/>
          <w:szCs w:val="24"/>
        </w:rPr>
        <w:t>要旨：有關債權人行使代位權，係指以自己名義行使債務人權利之權利而言，信託契約如定有對委託人權利行使之限制，則委託人之債權人如得代位時，亦受該項限制；惟信託契約如明定其內容變更或終止應經受託人及監察人同意者，委託人之債權人如未依信託契約之特別約定，單方片面終止契約者，不生終止契約之效力。</w:t>
      </w:r>
    </w:p>
    <w:p w:rsidR="002A4F64" w:rsidRPr="00BB4911" w:rsidRDefault="002A4F64" w:rsidP="002A4F64">
      <w:pPr>
        <w:kinsoku w:val="0"/>
        <w:overflowPunct w:val="0"/>
        <w:spacing w:before="5" w:line="256" w:lineRule="auto"/>
        <w:ind w:left="400" w:right="1460"/>
        <w:rPr>
          <w:rFonts w:ascii="標楷體" w:eastAsia="標楷體" w:hAnsi="標楷體"/>
          <w:sz w:val="24"/>
          <w:szCs w:val="24"/>
        </w:rPr>
      </w:pPr>
      <w:r w:rsidRPr="00BB4911">
        <w:rPr>
          <w:rFonts w:ascii="標楷體" w:eastAsia="標楷體" w:hAnsi="標楷體" w:hint="eastAsia"/>
          <w:sz w:val="24"/>
          <w:szCs w:val="24"/>
        </w:rPr>
        <w:t>主旨：有關債權人得否代位終止信託契約疑義乙案，復請查照</w:t>
      </w: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z w:val="24"/>
          <w:szCs w:val="24"/>
        </w:rPr>
        <w:t>說明：一、復台端</w:t>
      </w:r>
      <w:r w:rsidRPr="00BB4911">
        <w:rPr>
          <w:rFonts w:ascii="標楷體" w:eastAsia="標楷體" w:hAnsi="標楷體"/>
          <w:sz w:val="24"/>
          <w:szCs w:val="24"/>
        </w:rPr>
        <w:t xml:space="preserve"> 99 </w:t>
      </w:r>
      <w:r w:rsidRPr="00BB4911">
        <w:rPr>
          <w:rFonts w:ascii="標楷體" w:eastAsia="標楷體" w:hAnsi="標楷體" w:hint="eastAsia"/>
          <w:sz w:val="24"/>
          <w:szCs w:val="24"/>
        </w:rPr>
        <w:t>年</w:t>
      </w:r>
      <w:r w:rsidRPr="00BB4911">
        <w:rPr>
          <w:rFonts w:ascii="標楷體" w:eastAsia="標楷體" w:hAnsi="標楷體"/>
          <w:sz w:val="24"/>
          <w:szCs w:val="24"/>
        </w:rPr>
        <w:t xml:space="preserve"> 11 </w:t>
      </w:r>
      <w:r w:rsidRPr="00BB4911">
        <w:rPr>
          <w:rFonts w:ascii="標楷體" w:eastAsia="標楷體" w:hAnsi="標楷體" w:hint="eastAsia"/>
          <w:sz w:val="24"/>
          <w:szCs w:val="24"/>
        </w:rPr>
        <w:t>月</w:t>
      </w:r>
      <w:r w:rsidRPr="00BB4911">
        <w:rPr>
          <w:rFonts w:ascii="標楷體" w:eastAsia="標楷體" w:hAnsi="標楷體"/>
          <w:sz w:val="24"/>
          <w:szCs w:val="24"/>
        </w:rPr>
        <w:t xml:space="preserve"> 30 </w:t>
      </w:r>
      <w:r w:rsidRPr="00BB4911">
        <w:rPr>
          <w:rFonts w:ascii="標楷體" w:eastAsia="標楷體" w:hAnsi="標楷體" w:hint="eastAsia"/>
          <w:sz w:val="24"/>
          <w:szCs w:val="24"/>
        </w:rPr>
        <w:t>日來函。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Pr="00BB4911">
        <w:rPr>
          <w:rFonts w:ascii="標楷體" w:eastAsia="標楷體" w:hAnsi="標楷體" w:hint="eastAsia"/>
          <w:sz w:val="24"/>
          <w:szCs w:val="24"/>
        </w:rPr>
        <w:t>二、按債務人怠於行使其權利時，債權人因保全債權，得以自己之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-1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Pr="00BB4911">
        <w:rPr>
          <w:rFonts w:ascii="標楷體" w:eastAsia="標楷體" w:hAnsi="標楷體" w:hint="eastAsia"/>
          <w:sz w:val="24"/>
          <w:szCs w:val="24"/>
        </w:rPr>
        <w:t>名</w:t>
      </w:r>
      <w:r w:rsidRPr="00BB4911">
        <w:rPr>
          <w:rFonts w:ascii="標楷體" w:eastAsia="標楷體" w:hAnsi="標楷體" w:hint="eastAsia"/>
          <w:spacing w:val="-7"/>
          <w:sz w:val="24"/>
          <w:szCs w:val="24"/>
        </w:rPr>
        <w:t>義，行使其權利，民法第</w:t>
      </w:r>
      <w:r w:rsidRPr="00BB4911">
        <w:rPr>
          <w:rFonts w:ascii="標楷體" w:eastAsia="標楷體" w:hAnsi="標楷體"/>
          <w:spacing w:val="-7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242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0"/>
          <w:sz w:val="24"/>
          <w:szCs w:val="24"/>
        </w:rPr>
        <w:t>條前段定有明文。關於債權人得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-45"/>
          <w:sz w:val="24"/>
          <w:szCs w:val="24"/>
        </w:rPr>
      </w:pPr>
      <w:r>
        <w:rPr>
          <w:rFonts w:ascii="標楷體" w:eastAsia="標楷體" w:hAnsi="標楷體" w:hint="eastAsia"/>
          <w:spacing w:val="-10"/>
          <w:sz w:val="24"/>
          <w:szCs w:val="24"/>
        </w:rPr>
        <w:t xml:space="preserve">            </w:t>
      </w:r>
      <w:r w:rsidRPr="00BB4911">
        <w:rPr>
          <w:rFonts w:ascii="標楷體" w:eastAsia="標楷體" w:hAnsi="標楷體" w:hint="eastAsia"/>
          <w:spacing w:val="-10"/>
          <w:sz w:val="24"/>
          <w:szCs w:val="24"/>
        </w:rPr>
        <w:t>否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代位終止信託契約乙節，實務上似認為如符合前開民法第</w:t>
      </w:r>
      <w:r w:rsidRPr="00BB4911">
        <w:rPr>
          <w:rFonts w:ascii="標楷體" w:eastAsia="標楷體" w:hAnsi="標楷體"/>
          <w:spacing w:val="-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242</w:t>
      </w:r>
      <w:r w:rsidRPr="00BB4911">
        <w:rPr>
          <w:rFonts w:ascii="標楷體" w:eastAsia="標楷體" w:hAnsi="標楷體"/>
          <w:spacing w:val="-45"/>
          <w:sz w:val="24"/>
          <w:szCs w:val="24"/>
        </w:rPr>
        <w:t xml:space="preserve"> 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-3"/>
          <w:sz w:val="24"/>
          <w:szCs w:val="24"/>
        </w:rPr>
      </w:pPr>
      <w:r>
        <w:rPr>
          <w:rFonts w:ascii="標楷體" w:eastAsia="標楷體" w:hAnsi="標楷體" w:hint="eastAsia"/>
          <w:spacing w:val="-45"/>
          <w:sz w:val="24"/>
          <w:szCs w:val="24"/>
        </w:rPr>
        <w:t xml:space="preserve">                                       </w:t>
      </w:r>
      <w:r w:rsidRPr="00BB4911">
        <w:rPr>
          <w:rFonts w:ascii="標楷體" w:eastAsia="標楷體" w:hAnsi="標楷體" w:hint="eastAsia"/>
          <w:spacing w:val="-45"/>
          <w:sz w:val="24"/>
          <w:szCs w:val="24"/>
        </w:rPr>
        <w:t>條</w:t>
      </w:r>
      <w:r>
        <w:rPr>
          <w:rFonts w:ascii="標楷體" w:eastAsia="標楷體" w:hAnsi="標楷體" w:hint="eastAsia"/>
          <w:spacing w:val="-45"/>
          <w:sz w:val="24"/>
          <w:szCs w:val="24"/>
        </w:rPr>
        <w:t xml:space="preserve">   </w:t>
      </w:r>
      <w:r w:rsidRPr="00BB4911">
        <w:rPr>
          <w:rFonts w:ascii="標楷體" w:eastAsia="標楷體" w:hAnsi="標楷體" w:hint="eastAsia"/>
          <w:spacing w:val="-1"/>
          <w:sz w:val="24"/>
          <w:szCs w:val="24"/>
        </w:rPr>
        <w:t>規定之要件，即須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（</w:t>
      </w:r>
      <w:r w:rsidRPr="00BB4911">
        <w:rPr>
          <w:rFonts w:ascii="標楷體" w:eastAsia="標楷體" w:hAnsi="標楷體"/>
          <w:spacing w:val="-3"/>
          <w:sz w:val="24"/>
          <w:szCs w:val="24"/>
        </w:rPr>
        <w:t>1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）</w:t>
      </w:r>
      <w:r w:rsidRPr="00BB4911">
        <w:rPr>
          <w:rFonts w:ascii="標楷體" w:eastAsia="標楷體" w:hAnsi="標楷體" w:hint="eastAsia"/>
          <w:spacing w:val="-1"/>
          <w:sz w:val="24"/>
          <w:szCs w:val="24"/>
        </w:rPr>
        <w:t>債權人有保全債權之必要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（</w:t>
      </w:r>
      <w:r w:rsidRPr="00BB4911">
        <w:rPr>
          <w:rFonts w:ascii="標楷體" w:eastAsia="標楷體" w:hAnsi="標楷體"/>
          <w:spacing w:val="-3"/>
          <w:sz w:val="24"/>
          <w:szCs w:val="24"/>
        </w:rPr>
        <w:t>2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）債務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 xml:space="preserve">          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人怠</w:t>
      </w:r>
      <w:r w:rsidRPr="00BB4911">
        <w:rPr>
          <w:rFonts w:ascii="標楷體" w:eastAsia="標楷體" w:hAnsi="標楷體" w:hint="eastAsia"/>
          <w:sz w:val="24"/>
          <w:szCs w:val="24"/>
        </w:rPr>
        <w:t>於行使其權利</w:t>
      </w:r>
      <w:r w:rsidRPr="00BB4911">
        <w:rPr>
          <w:rFonts w:ascii="標楷體" w:eastAsia="標楷體" w:hAnsi="標楷體" w:hint="eastAsia"/>
          <w:spacing w:val="2"/>
          <w:sz w:val="24"/>
          <w:szCs w:val="24"/>
        </w:rPr>
        <w:t>（</w:t>
      </w:r>
      <w:r w:rsidRPr="00BB4911">
        <w:rPr>
          <w:rFonts w:ascii="標楷體" w:eastAsia="標楷體" w:hAnsi="標楷體"/>
          <w:spacing w:val="2"/>
          <w:sz w:val="24"/>
          <w:szCs w:val="24"/>
        </w:rPr>
        <w:t>3</w:t>
      </w:r>
      <w:r w:rsidRPr="00BB4911">
        <w:rPr>
          <w:rFonts w:ascii="標楷體" w:eastAsia="標楷體" w:hAnsi="標楷體" w:hint="eastAsia"/>
          <w:spacing w:val="2"/>
          <w:sz w:val="24"/>
          <w:szCs w:val="24"/>
        </w:rPr>
        <w:t>）</w:t>
      </w:r>
      <w:r w:rsidRPr="00BB4911">
        <w:rPr>
          <w:rFonts w:ascii="標楷體" w:eastAsia="標楷體" w:hAnsi="標楷體" w:hint="eastAsia"/>
          <w:sz w:val="24"/>
          <w:szCs w:val="24"/>
        </w:rPr>
        <w:t>債務人已負遲延責任者，債權人應得代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-7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Pr="00BB4911">
        <w:rPr>
          <w:rFonts w:ascii="標楷體" w:eastAsia="標楷體" w:hAnsi="標楷體" w:hint="eastAsia"/>
          <w:sz w:val="24"/>
          <w:szCs w:val="24"/>
        </w:rPr>
        <w:t>位終</w:t>
      </w:r>
      <w:r w:rsidRPr="00BB4911">
        <w:rPr>
          <w:rFonts w:ascii="標楷體" w:eastAsia="標楷體" w:hAnsi="標楷體" w:hint="eastAsia"/>
          <w:spacing w:val="-3"/>
          <w:sz w:val="24"/>
          <w:szCs w:val="24"/>
        </w:rPr>
        <w:t>止信託契約。另查信託法第</w:t>
      </w:r>
      <w:r w:rsidRPr="00BB4911">
        <w:rPr>
          <w:rFonts w:ascii="標楷體" w:eastAsia="標楷體" w:hAnsi="標楷體"/>
          <w:spacing w:val="-3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12</w:t>
      </w:r>
      <w:r w:rsidRPr="00BB4911">
        <w:rPr>
          <w:rFonts w:ascii="標楷體" w:eastAsia="標楷體" w:hAnsi="標楷體"/>
          <w:spacing w:val="-2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20"/>
          <w:sz w:val="24"/>
          <w:szCs w:val="24"/>
        </w:rPr>
        <w:t>條第</w:t>
      </w:r>
      <w:r w:rsidRPr="00BB4911">
        <w:rPr>
          <w:rFonts w:ascii="標楷體" w:eastAsia="標楷體" w:hAnsi="標楷體"/>
          <w:spacing w:val="-20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-7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7"/>
          <w:sz w:val="24"/>
          <w:szCs w:val="24"/>
        </w:rPr>
        <w:t>項本文規定：「對信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-5"/>
          <w:sz w:val="24"/>
          <w:szCs w:val="24"/>
        </w:rPr>
      </w:pPr>
      <w:r>
        <w:rPr>
          <w:rFonts w:ascii="標楷體" w:eastAsia="標楷體" w:hAnsi="標楷體" w:hint="eastAsia"/>
          <w:spacing w:val="-7"/>
          <w:sz w:val="24"/>
          <w:szCs w:val="24"/>
        </w:rPr>
        <w:t xml:space="preserve">           </w:t>
      </w:r>
      <w:r w:rsidRPr="00BB4911">
        <w:rPr>
          <w:rFonts w:ascii="標楷體" w:eastAsia="標楷體" w:hAnsi="標楷體" w:hint="eastAsia"/>
          <w:spacing w:val="-7"/>
          <w:sz w:val="24"/>
          <w:szCs w:val="24"/>
        </w:rPr>
        <w:t>託財</w:t>
      </w:r>
      <w:r w:rsidRPr="00BB4911">
        <w:rPr>
          <w:rFonts w:ascii="標楷體" w:eastAsia="標楷體" w:hAnsi="標楷體" w:hint="eastAsia"/>
          <w:spacing w:val="-5"/>
          <w:sz w:val="24"/>
          <w:szCs w:val="24"/>
        </w:rPr>
        <w:t>產不得強制執行。」所稱信託財產，實務見解亦認為與信託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-5"/>
          <w:sz w:val="24"/>
          <w:szCs w:val="24"/>
        </w:rPr>
        <w:t xml:space="preserve">          </w:t>
      </w:r>
      <w:r w:rsidRPr="00BB4911">
        <w:rPr>
          <w:rFonts w:ascii="標楷體" w:eastAsia="標楷體" w:hAnsi="標楷體" w:hint="eastAsia"/>
          <w:spacing w:val="-5"/>
          <w:sz w:val="24"/>
          <w:szCs w:val="24"/>
        </w:rPr>
        <w:t>受益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權係不同之財產權。三、次按債權人行使代位權，係以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自己名義行使債務人權利之權利，故信託契約如已定有對委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託人權利行使之限制者，委託人之債權人如得代位時，亦受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該限制。從而，信託契約如明定其內容變更或終止應經受託</w:t>
      </w:r>
    </w:p>
    <w:p w:rsidR="002A4F64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 w:hint="eastAsia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人及監察人同意者，委託人之債權人如未依信託契約之特別</w:t>
      </w:r>
    </w:p>
    <w:p w:rsidR="002A4F64" w:rsidRPr="00BB4911" w:rsidRDefault="002A4F64" w:rsidP="002A4F64">
      <w:pPr>
        <w:kinsoku w:val="0"/>
        <w:overflowPunct w:val="0"/>
        <w:spacing w:before="2" w:line="256" w:lineRule="auto"/>
        <w:ind w:left="940" w:right="229" w:hanging="540"/>
        <w:rPr>
          <w:rFonts w:ascii="標楷體" w:eastAsia="標楷體" w:hAnsi="標楷體"/>
          <w:spacing w:val="6"/>
          <w:sz w:val="24"/>
          <w:szCs w:val="24"/>
        </w:rPr>
      </w:pPr>
      <w:r>
        <w:rPr>
          <w:rFonts w:ascii="標楷體" w:eastAsia="標楷體" w:hAnsi="標楷體" w:hint="eastAsia"/>
          <w:spacing w:val="6"/>
          <w:sz w:val="24"/>
          <w:szCs w:val="24"/>
        </w:rPr>
        <w:t xml:space="preserve">        </w:t>
      </w:r>
      <w:r w:rsidRPr="00BB4911">
        <w:rPr>
          <w:rFonts w:ascii="標楷體" w:eastAsia="標楷體" w:hAnsi="標楷體" w:hint="eastAsia"/>
          <w:spacing w:val="6"/>
          <w:sz w:val="24"/>
          <w:szCs w:val="24"/>
        </w:rPr>
        <w:t>約定，即單方片面終止契約者，自不生終止契約之效力。</w:t>
      </w:r>
    </w:p>
    <w:p w:rsidR="00343A25" w:rsidRPr="002A4F64" w:rsidRDefault="00343A25" w:rsidP="002A4F64"/>
    <w:sectPr w:rsidR="00343A25" w:rsidRPr="002A4F6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BD" w:rsidRDefault="007C3ABD" w:rsidP="00CC62D6">
      <w:r>
        <w:separator/>
      </w:r>
    </w:p>
  </w:endnote>
  <w:endnote w:type="continuationSeparator" w:id="0">
    <w:p w:rsidR="007C3ABD" w:rsidRDefault="007C3ABD" w:rsidP="00CC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392876"/>
      <w:docPartObj>
        <w:docPartGallery w:val="Page Numbers (Bottom of Page)"/>
        <w:docPartUnique/>
      </w:docPartObj>
    </w:sdtPr>
    <w:sdtEndPr/>
    <w:sdtContent>
      <w:p w:rsidR="00B54398" w:rsidRDefault="00B543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ABD" w:rsidRPr="007C3ABD">
          <w:rPr>
            <w:noProof/>
            <w:lang w:val="zh-TW"/>
          </w:rPr>
          <w:t>1</w:t>
        </w:r>
        <w:r>
          <w:fldChar w:fldCharType="end"/>
        </w:r>
      </w:p>
    </w:sdtContent>
  </w:sdt>
  <w:p w:rsidR="00B54398" w:rsidRDefault="00B543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BD" w:rsidRDefault="007C3ABD" w:rsidP="00CC62D6">
      <w:r>
        <w:separator/>
      </w:r>
    </w:p>
  </w:footnote>
  <w:footnote w:type="continuationSeparator" w:id="0">
    <w:p w:rsidR="007C3ABD" w:rsidRDefault="007C3ABD" w:rsidP="00CC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E"/>
    <w:multiLevelType w:val="multilevel"/>
    <w:tmpl w:val="6E122F06"/>
    <w:lvl w:ilvl="0">
      <w:start w:val="2"/>
      <w:numFmt w:val="decimal"/>
      <w:pStyle w:val="5"/>
      <w:lvlText w:val="%1."/>
      <w:lvlJc w:val="left"/>
      <w:pPr>
        <w:ind w:left="341" w:hanging="341"/>
      </w:pPr>
      <w:rPr>
        <w:rFonts w:ascii="Calibri" w:hAnsi="Calibri" w:cs="Calibri"/>
        <w:b/>
        <w:bCs/>
        <w:w w:val="99"/>
        <w:sz w:val="24"/>
        <w:szCs w:val="24"/>
      </w:rPr>
    </w:lvl>
    <w:lvl w:ilvl="1">
      <w:numFmt w:val="bullet"/>
      <w:lvlText w:val="○"/>
      <w:lvlJc w:val="left"/>
      <w:pPr>
        <w:ind w:left="528" w:hanging="243"/>
      </w:pPr>
      <w:rPr>
        <w:rFonts w:ascii="細明體_HKSCS" w:hAnsi="Times New Roman" w:cs="細明體_HKSCS"/>
        <w:b w:val="0"/>
        <w:bCs w:val="0"/>
        <w:spacing w:val="2"/>
        <w:w w:val="99"/>
        <w:sz w:val="22"/>
        <w:szCs w:val="22"/>
      </w:rPr>
    </w:lvl>
    <w:lvl w:ilvl="2">
      <w:numFmt w:val="bullet"/>
      <w:lvlText w:val="○"/>
      <w:lvlJc w:val="left"/>
      <w:pPr>
        <w:ind w:left="1080" w:hanging="241"/>
      </w:pPr>
      <w:rPr>
        <w:rFonts w:ascii="細明體_HKSCS" w:hAnsi="Times New Roman" w:cs="細明體_HKSCS"/>
        <w:b w:val="0"/>
        <w:bCs w:val="0"/>
        <w:spacing w:val="-46"/>
        <w:w w:val="99"/>
        <w:sz w:val="22"/>
        <w:szCs w:val="22"/>
      </w:rPr>
    </w:lvl>
    <w:lvl w:ilvl="3">
      <w:numFmt w:val="bullet"/>
      <w:lvlText w:val="•"/>
      <w:lvlJc w:val="left"/>
      <w:pPr>
        <w:ind w:left="2015" w:hanging="241"/>
      </w:pPr>
    </w:lvl>
    <w:lvl w:ilvl="4">
      <w:numFmt w:val="bullet"/>
      <w:lvlText w:val="•"/>
      <w:lvlJc w:val="left"/>
      <w:pPr>
        <w:ind w:left="2948" w:hanging="241"/>
      </w:pPr>
    </w:lvl>
    <w:lvl w:ilvl="5">
      <w:numFmt w:val="bullet"/>
      <w:lvlText w:val="•"/>
      <w:lvlJc w:val="left"/>
      <w:pPr>
        <w:ind w:left="3880" w:hanging="241"/>
      </w:pPr>
    </w:lvl>
    <w:lvl w:ilvl="6">
      <w:numFmt w:val="bullet"/>
      <w:lvlText w:val="•"/>
      <w:lvlJc w:val="left"/>
      <w:pPr>
        <w:ind w:left="4813" w:hanging="241"/>
      </w:pPr>
    </w:lvl>
    <w:lvl w:ilvl="7">
      <w:numFmt w:val="bullet"/>
      <w:lvlText w:val="•"/>
      <w:lvlJc w:val="left"/>
      <w:pPr>
        <w:ind w:left="5745" w:hanging="241"/>
      </w:pPr>
    </w:lvl>
    <w:lvl w:ilvl="8">
      <w:numFmt w:val="bullet"/>
      <w:lvlText w:val="•"/>
      <w:lvlJc w:val="left"/>
      <w:pPr>
        <w:ind w:left="6678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3B"/>
    <w:rsid w:val="0009533B"/>
    <w:rsid w:val="000E17B1"/>
    <w:rsid w:val="00291F6F"/>
    <w:rsid w:val="002A4F64"/>
    <w:rsid w:val="00334F61"/>
    <w:rsid w:val="00343A25"/>
    <w:rsid w:val="006532F6"/>
    <w:rsid w:val="006C21FA"/>
    <w:rsid w:val="007C3ABD"/>
    <w:rsid w:val="008D4D0C"/>
    <w:rsid w:val="00997659"/>
    <w:rsid w:val="00AC71BD"/>
    <w:rsid w:val="00B54398"/>
    <w:rsid w:val="00CC62D6"/>
    <w:rsid w:val="00DC4FF6"/>
    <w:rsid w:val="00D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59"/>
    <w:pPr>
      <w:widowControl w:val="0"/>
    </w:pPr>
    <w:rPr>
      <w:rFonts w:ascii="Consolas" w:eastAsia="新細明體" w:hAnsi="Arial" w:cs="Calibri Light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CC62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CC62D6"/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C62D6"/>
    <w:pPr>
      <w:numPr>
        <w:numId w:val="1"/>
      </w:numPr>
      <w:tabs>
        <w:tab w:val="left" w:pos="459"/>
      </w:tabs>
      <w:kinsoku w:val="0"/>
      <w:overflowPunct w:val="0"/>
      <w:spacing w:before="98" w:line="440" w:lineRule="exact"/>
      <w:ind w:leftChars="-29" w:left="284" w:hanging="342"/>
      <w:outlineLvl w:val="2"/>
    </w:pPr>
    <w:rPr>
      <w:rFonts w:ascii="Calibri" w:hAnsi="Calibri" w:cs="Times New Roman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59"/>
    <w:pPr>
      <w:widowControl w:val="0"/>
    </w:pPr>
    <w:rPr>
      <w:rFonts w:ascii="Consolas" w:eastAsia="新細明體" w:hAnsi="Arial" w:cs="Calibri Light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CC62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CC62D6"/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C62D6"/>
    <w:pPr>
      <w:numPr>
        <w:numId w:val="1"/>
      </w:numPr>
      <w:tabs>
        <w:tab w:val="left" w:pos="459"/>
      </w:tabs>
      <w:kinsoku w:val="0"/>
      <w:overflowPunct w:val="0"/>
      <w:spacing w:before="98" w:line="440" w:lineRule="exact"/>
      <w:ind w:leftChars="-29" w:left="284" w:hanging="342"/>
      <w:outlineLvl w:val="2"/>
    </w:pPr>
    <w:rPr>
      <w:rFonts w:ascii="Calibri" w:hAnsi="Calibri" w:cs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Gwin7User</cp:lastModifiedBy>
  <cp:revision>3</cp:revision>
  <dcterms:created xsi:type="dcterms:W3CDTF">2026-01-15T03:47:00Z</dcterms:created>
  <dcterms:modified xsi:type="dcterms:W3CDTF">2026-01-15T03:51:00Z</dcterms:modified>
</cp:coreProperties>
</file>