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CF" w:rsidRDefault="00DA4CCF" w:rsidP="00DA4CCF">
      <w:pPr>
        <w:kinsoku w:val="0"/>
        <w:overflowPunct w:val="0"/>
        <w:spacing w:before="8"/>
        <w:ind w:left="40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【</w:t>
      </w:r>
      <w:r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行政函釋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】</w:t>
      </w:r>
    </w:p>
    <w:p w:rsidR="00DA4CCF" w:rsidRDefault="00DA4CCF" w:rsidP="00DA4CCF">
      <w:pPr>
        <w:kinsoku w:val="0"/>
        <w:overflowPunct w:val="0"/>
        <w:spacing w:line="237" w:lineRule="auto"/>
        <w:ind w:left="854" w:right="109" w:hanging="454"/>
        <w:rPr>
          <w:rFonts w:ascii="標楷體" w:eastAsia="標楷體" w:hAnsi="標楷體" w:hint="eastAsia"/>
          <w:b/>
          <w:bCs/>
          <w:spacing w:val="2"/>
          <w:sz w:val="24"/>
          <w:szCs w:val="24"/>
        </w:rPr>
      </w:pPr>
      <w:bookmarkStart w:id="0" w:name="_Hlk55184068"/>
      <w:bookmarkStart w:id="1" w:name="_GoBack"/>
      <w:r>
        <w:rPr>
          <w:rFonts w:ascii="標楷體" w:eastAsia="標楷體" w:hAnsi="標楷體" w:hint="eastAsia"/>
          <w:b/>
          <w:bCs/>
          <w:sz w:val="24"/>
          <w:szCs w:val="24"/>
        </w:rPr>
        <w:t>135</w:t>
      </w: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1</w:t>
      </w:r>
      <w:r w:rsidRPr="00DA4CCF">
        <w:rPr>
          <w:rFonts w:ascii="標楷體" w:eastAsia="標楷體" w:hAnsi="標楷體"/>
          <w:b/>
          <w:bCs/>
          <w:sz w:val="24"/>
          <w:szCs w:val="24"/>
        </w:rPr>
        <w:t>00</w:t>
      </w: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6</w:t>
      </w:r>
      <w:r w:rsidRPr="00DA4CCF">
        <w:rPr>
          <w:rFonts w:ascii="標楷體" w:eastAsia="標楷體" w:hAnsi="標楷體"/>
          <w:b/>
          <w:bCs/>
          <w:sz w:val="24"/>
          <w:szCs w:val="24"/>
        </w:rPr>
        <w:t>-</w:t>
      </w: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信</w:t>
      </w:r>
      <w:r>
        <w:rPr>
          <w:rFonts w:ascii="標楷體" w:eastAsia="標楷體" w:hAnsi="標楷體" w:hint="eastAsia"/>
          <w:b/>
          <w:bCs/>
          <w:sz w:val="24"/>
          <w:szCs w:val="24"/>
        </w:rPr>
        <w:t>0</w:t>
      </w: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1-</w:t>
      </w:r>
      <w:bookmarkEnd w:id="0"/>
      <w:r w:rsidRPr="00DA4CCF">
        <w:rPr>
          <w:rFonts w:ascii="標楷體" w:eastAsia="標楷體" w:hAnsi="標楷體" w:hint="eastAsia"/>
          <w:b/>
          <w:bCs/>
          <w:spacing w:val="2"/>
          <w:sz w:val="24"/>
          <w:szCs w:val="24"/>
        </w:rPr>
        <w:t>銀行兼營信託事業，以信託財產持有他公司股份，除依委</w:t>
      </w:r>
    </w:p>
    <w:p w:rsidR="00DA4CCF" w:rsidRDefault="00DA4CCF" w:rsidP="00DA4CCF">
      <w:pPr>
        <w:kinsoku w:val="0"/>
        <w:overflowPunct w:val="0"/>
        <w:spacing w:line="237" w:lineRule="auto"/>
        <w:ind w:left="854" w:right="109" w:hanging="454"/>
        <w:rPr>
          <w:rFonts w:ascii="標楷體" w:eastAsia="標楷體" w:hAnsi="標楷體" w:hint="eastAsia"/>
          <w:b/>
          <w:bCs/>
          <w:spacing w:val="2"/>
          <w:w w:val="95"/>
          <w:sz w:val="24"/>
          <w:szCs w:val="24"/>
        </w:rPr>
      </w:pPr>
      <w:r w:rsidRPr="00DA4CCF">
        <w:rPr>
          <w:rFonts w:ascii="標楷體" w:eastAsia="標楷體" w:hAnsi="標楷體" w:hint="eastAsia"/>
          <w:b/>
          <w:bCs/>
          <w:spacing w:val="2"/>
          <w:sz w:val="24"/>
          <w:szCs w:val="24"/>
        </w:rPr>
        <w:t>託人之指</w:t>
      </w:r>
      <w:r w:rsidRPr="00DA4CCF">
        <w:rPr>
          <w:rFonts w:ascii="標楷體" w:eastAsia="標楷體" w:hAnsi="標楷體" w:hint="eastAsia"/>
          <w:b/>
          <w:bCs/>
          <w:spacing w:val="2"/>
          <w:w w:val="95"/>
          <w:sz w:val="24"/>
          <w:szCs w:val="24"/>
        </w:rPr>
        <w:t>示書行使股東權外，若擔任董監事且指派銀行負責人為執行職務之</w:t>
      </w:r>
      <w:r w:rsidRPr="00DA4CCF">
        <w:rPr>
          <w:rFonts w:ascii="標楷體" w:eastAsia="標楷體" w:hAnsi="標楷體"/>
          <w:b/>
          <w:bCs/>
          <w:spacing w:val="2"/>
          <w:w w:val="95"/>
          <w:sz w:val="24"/>
          <w:szCs w:val="24"/>
        </w:rPr>
        <w:t xml:space="preserve"> </w:t>
      </w:r>
    </w:p>
    <w:p w:rsidR="0024300C" w:rsidRDefault="00DA4CCF" w:rsidP="00DA4CCF">
      <w:pPr>
        <w:kinsoku w:val="0"/>
        <w:overflowPunct w:val="0"/>
        <w:spacing w:line="237" w:lineRule="auto"/>
        <w:ind w:left="854" w:right="109" w:hanging="454"/>
        <w:rPr>
          <w:rFonts w:ascii="標楷體" w:eastAsia="標楷體" w:hAnsi="標楷體" w:hint="eastAsia"/>
          <w:b/>
          <w:bCs/>
          <w:spacing w:val="-8"/>
          <w:sz w:val="24"/>
          <w:szCs w:val="24"/>
        </w:rPr>
      </w:pP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代</w:t>
      </w:r>
      <w:r w:rsidRPr="00DA4CCF">
        <w:rPr>
          <w:rFonts w:ascii="標楷體" w:eastAsia="標楷體" w:hAnsi="標楷體" w:hint="eastAsia"/>
          <w:b/>
          <w:bCs/>
          <w:spacing w:val="-6"/>
          <w:sz w:val="24"/>
          <w:szCs w:val="24"/>
        </w:rPr>
        <w:t>表人時，已符合銀行法第</w:t>
      </w:r>
      <w:r w:rsidRPr="00DA4CCF">
        <w:rPr>
          <w:rFonts w:ascii="標楷體" w:eastAsia="標楷體" w:hAnsi="標楷體"/>
          <w:b/>
          <w:bCs/>
          <w:spacing w:val="-6"/>
          <w:sz w:val="24"/>
          <w:szCs w:val="24"/>
        </w:rPr>
        <w:t xml:space="preserve"> </w:t>
      </w:r>
      <w:r w:rsidRPr="00DA4CCF">
        <w:rPr>
          <w:rFonts w:ascii="標楷體" w:eastAsia="標楷體" w:hAnsi="標楷體"/>
          <w:b/>
          <w:bCs/>
          <w:sz w:val="24"/>
          <w:szCs w:val="24"/>
        </w:rPr>
        <w:t>32</w:t>
      </w:r>
      <w:r w:rsidRPr="00DA4CCF">
        <w:rPr>
          <w:rFonts w:ascii="標楷體" w:eastAsia="標楷體" w:hAnsi="標楷體" w:hint="eastAsia"/>
          <w:b/>
          <w:bCs/>
          <w:sz w:val="24"/>
          <w:szCs w:val="24"/>
        </w:rPr>
        <w:t>、</w:t>
      </w:r>
      <w:r w:rsidRPr="00DA4CCF">
        <w:rPr>
          <w:rFonts w:ascii="標楷體" w:eastAsia="標楷體" w:hAnsi="標楷體"/>
          <w:b/>
          <w:bCs/>
          <w:sz w:val="24"/>
          <w:szCs w:val="24"/>
        </w:rPr>
        <w:t>33</w:t>
      </w:r>
      <w:r w:rsidRPr="00DA4CCF">
        <w:rPr>
          <w:rFonts w:ascii="標楷體" w:eastAsia="標楷體" w:hAnsi="標楷體"/>
          <w:b/>
          <w:bCs/>
          <w:spacing w:val="-8"/>
          <w:sz w:val="24"/>
          <w:szCs w:val="24"/>
        </w:rPr>
        <w:t xml:space="preserve"> </w:t>
      </w:r>
      <w:r w:rsidRPr="00DA4CCF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>條有關利害關係人之限制規定。</w:t>
      </w:r>
    </w:p>
    <w:p w:rsidR="00DA4CCF" w:rsidRPr="00DA4CCF" w:rsidRDefault="00DA4CCF" w:rsidP="00DA4CCF">
      <w:pPr>
        <w:kinsoku w:val="0"/>
        <w:overflowPunct w:val="0"/>
        <w:spacing w:line="237" w:lineRule="auto"/>
        <w:ind w:left="854" w:right="109" w:hanging="454"/>
        <w:rPr>
          <w:rFonts w:ascii="標楷體" w:eastAsia="標楷體" w:hAnsi="標楷體"/>
          <w:b/>
          <w:bCs/>
          <w:spacing w:val="-8"/>
          <w:sz w:val="24"/>
          <w:szCs w:val="24"/>
        </w:rPr>
      </w:pPr>
      <w:r w:rsidRPr="00DA4CCF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>-101-03-03-</w:t>
      </w:r>
      <w:r w:rsidRPr="00DA4CCF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10000386160</w:t>
      </w:r>
      <w:r w:rsidRPr="00DA4CCF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號</w:t>
      </w:r>
    </w:p>
    <w:bookmarkEnd w:id="1"/>
    <w:p w:rsidR="00DA4CCF" w:rsidRPr="00817946" w:rsidRDefault="00DA4CCF" w:rsidP="00DA4CCF">
      <w:pPr>
        <w:kinsoku w:val="0"/>
        <w:overflowPunct w:val="0"/>
        <w:spacing w:before="8"/>
        <w:ind w:left="400"/>
        <w:rPr>
          <w:rFonts w:ascii="標楷體" w:eastAsia="標楷體" w:hAnsi="標楷體"/>
          <w:color w:val="FF0000"/>
          <w:sz w:val="24"/>
          <w:szCs w:val="24"/>
        </w:rPr>
      </w:pPr>
    </w:p>
    <w:p w:rsidR="00DA4CCF" w:rsidRPr="00DA4CCF" w:rsidRDefault="00DA4CCF" w:rsidP="00DA4CCF">
      <w:pPr>
        <w:kinsoku w:val="0"/>
        <w:overflowPunct w:val="0"/>
        <w:spacing w:line="237" w:lineRule="auto"/>
        <w:ind w:left="854" w:right="109" w:hanging="454"/>
        <w:rPr>
          <w:rFonts w:ascii="標楷體" w:eastAsia="標楷體" w:hAnsi="標楷體" w:hint="eastAsia"/>
          <w:spacing w:val="-8"/>
          <w:sz w:val="24"/>
          <w:szCs w:val="24"/>
        </w:rPr>
      </w:pP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6</w:t>
      </w:r>
      <w:r w:rsidRPr="00BB4911">
        <w:rPr>
          <w:rFonts w:ascii="標楷體" w:eastAsia="標楷體" w:hAnsi="標楷體" w:cs="微軟正黑體"/>
          <w:b/>
          <w:bCs/>
          <w:w w:val="196"/>
          <w:sz w:val="24"/>
          <w:szCs w:val="24"/>
        </w:rPr>
        <w:t>.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【行政院金融監督管理委員會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1</w:t>
      </w:r>
      <w:r w:rsidRPr="00BB4911">
        <w:rPr>
          <w:rFonts w:ascii="標楷體" w:eastAsia="標楷體" w:hAnsi="標楷體" w:cs="微軟正黑體"/>
          <w:b/>
          <w:bCs/>
          <w:spacing w:val="2"/>
          <w:w w:val="83"/>
          <w:sz w:val="24"/>
          <w:szCs w:val="24"/>
        </w:rPr>
        <w:t>0</w:t>
      </w: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1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年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3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月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3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日金管銀法字第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/>
          <w:b/>
          <w:bCs/>
          <w:w w:val="83"/>
          <w:sz w:val="24"/>
          <w:szCs w:val="24"/>
        </w:rPr>
        <w:t>10000386160</w:t>
      </w:r>
      <w:r w:rsidRPr="00BB4911">
        <w:rPr>
          <w:rFonts w:ascii="標楷體" w:eastAsia="標楷體" w:hAnsi="標楷體" w:cs="微軟正黑體"/>
          <w:b/>
          <w:bCs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cs="微軟正黑體" w:hint="eastAsia"/>
          <w:b/>
          <w:bCs/>
          <w:w w:val="99"/>
          <w:sz w:val="24"/>
          <w:szCs w:val="24"/>
        </w:rPr>
        <w:t>號】</w:t>
      </w:r>
      <w:r w:rsidRPr="00BB4911">
        <w:rPr>
          <w:rFonts w:ascii="標楷體" w:eastAsia="標楷體" w:hAnsi="標楷體" w:hint="eastAsia"/>
          <w:spacing w:val="2"/>
          <w:sz w:val="24"/>
          <w:szCs w:val="24"/>
        </w:rPr>
        <w:t>要旨：銀行兼營信託事業，以信託財產持有他公司股份，除依委託人之指</w:t>
      </w:r>
      <w:r w:rsidRPr="00BB4911">
        <w:rPr>
          <w:rFonts w:ascii="標楷體" w:eastAsia="標楷體" w:hAnsi="標楷體" w:hint="eastAsia"/>
          <w:spacing w:val="2"/>
          <w:w w:val="95"/>
          <w:sz w:val="24"/>
          <w:szCs w:val="24"/>
        </w:rPr>
        <w:t>示書行使股東權外，若擔任董監事且指派銀行負責人為執行職務之</w:t>
      </w:r>
      <w:r w:rsidRPr="00BB4911">
        <w:rPr>
          <w:rFonts w:ascii="標楷體" w:eastAsia="標楷體" w:hAnsi="標楷體"/>
          <w:spacing w:val="2"/>
          <w:w w:val="95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z w:val="24"/>
          <w:szCs w:val="24"/>
        </w:rPr>
        <w:t>代</w:t>
      </w:r>
      <w:r w:rsidRPr="00BB4911">
        <w:rPr>
          <w:rFonts w:ascii="標楷體" w:eastAsia="標楷體" w:hAnsi="標楷體" w:hint="eastAsia"/>
          <w:spacing w:val="-6"/>
          <w:sz w:val="24"/>
          <w:szCs w:val="24"/>
        </w:rPr>
        <w:t>表人時，已符合銀行法第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32</w:t>
      </w:r>
      <w:r w:rsidRPr="00BB4911">
        <w:rPr>
          <w:rFonts w:ascii="標楷體" w:eastAsia="標楷體" w:hAnsi="標楷體" w:hint="eastAsia"/>
          <w:sz w:val="24"/>
          <w:szCs w:val="24"/>
        </w:rPr>
        <w:t>、</w:t>
      </w:r>
      <w:r w:rsidRPr="00BB4911">
        <w:rPr>
          <w:rFonts w:ascii="標楷體" w:eastAsia="標楷體" w:hAnsi="標楷體"/>
          <w:sz w:val="24"/>
          <w:szCs w:val="24"/>
        </w:rPr>
        <w:t>33</w:t>
      </w:r>
      <w:r w:rsidRPr="00BB4911">
        <w:rPr>
          <w:rFonts w:ascii="標楷體" w:eastAsia="標楷體" w:hAnsi="標楷體"/>
          <w:spacing w:val="-8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8"/>
          <w:sz w:val="24"/>
          <w:szCs w:val="24"/>
        </w:rPr>
        <w:t>條有關利害關係人之限制規定。</w:t>
      </w:r>
    </w:p>
    <w:p w:rsidR="00DA4CCF" w:rsidRPr="00DA4CCF" w:rsidRDefault="00DA4CCF" w:rsidP="00DA4CCF">
      <w:pPr>
        <w:kinsoku w:val="0"/>
        <w:overflowPunct w:val="0"/>
        <w:spacing w:before="2" w:line="256" w:lineRule="auto"/>
        <w:ind w:right="988"/>
        <w:rPr>
          <w:rFonts w:ascii="標楷體" w:eastAsia="標楷體" w:hAnsi="標楷體" w:hint="eastAsia"/>
          <w:spacing w:val="-11"/>
          <w:sz w:val="24"/>
          <w:szCs w:val="24"/>
        </w:rPr>
      </w:pPr>
      <w:r w:rsidRPr="00BB4911">
        <w:rPr>
          <w:rFonts w:ascii="標楷體" w:eastAsia="標楷體" w:hAnsi="標楷體" w:hint="eastAsia"/>
          <w:spacing w:val="-7"/>
          <w:sz w:val="24"/>
          <w:szCs w:val="24"/>
        </w:rPr>
        <w:t>說明：一、依據貴會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100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10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31</w:t>
      </w:r>
      <w:r w:rsidRPr="00BB4911">
        <w:rPr>
          <w:rFonts w:ascii="標楷體" w:eastAsia="標楷體" w:hAnsi="標楷體"/>
          <w:spacing w:val="-1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7"/>
          <w:sz w:val="24"/>
          <w:szCs w:val="24"/>
        </w:rPr>
        <w:t>日中託業字第</w:t>
      </w:r>
      <w:r w:rsidRPr="00BB4911">
        <w:rPr>
          <w:rFonts w:ascii="標楷體" w:eastAsia="標楷體" w:hAnsi="標楷體"/>
          <w:spacing w:val="-17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100000876</w:t>
      </w:r>
      <w:r w:rsidRPr="00BB4911"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1"/>
          <w:sz w:val="24"/>
          <w:szCs w:val="24"/>
        </w:rPr>
        <w:t>號辦理。</w:t>
      </w:r>
      <w:r>
        <w:rPr>
          <w:rFonts w:ascii="標楷體" w:eastAsia="標楷體" w:hAnsi="標楷體" w:hint="eastAsia"/>
          <w:spacing w:val="-16"/>
          <w:sz w:val="24"/>
          <w:szCs w:val="24"/>
        </w:rPr>
        <w:t xml:space="preserve"> </w:t>
      </w:r>
    </w:p>
    <w:p w:rsidR="00DA4CCF" w:rsidRDefault="00DA4CCF" w:rsidP="00DA4CCF">
      <w:pPr>
        <w:kinsoku w:val="0"/>
        <w:overflowPunct w:val="0"/>
        <w:spacing w:before="2" w:line="256" w:lineRule="auto"/>
        <w:ind w:left="1135" w:right="226" w:hanging="735"/>
        <w:jc w:val="right"/>
        <w:rPr>
          <w:rFonts w:ascii="標楷體" w:eastAsia="標楷體" w:hAnsi="標楷體" w:hint="eastAsia"/>
          <w:spacing w:val="3"/>
          <w:w w:val="95"/>
          <w:sz w:val="24"/>
          <w:szCs w:val="24"/>
        </w:rPr>
      </w:pPr>
      <w:r>
        <w:rPr>
          <w:rFonts w:ascii="標楷體" w:eastAsia="標楷體" w:hAnsi="標楷體" w:hint="eastAsia"/>
          <w:spacing w:val="-16"/>
          <w:sz w:val="24"/>
          <w:szCs w:val="24"/>
        </w:rPr>
        <w:t xml:space="preserve">   </w:t>
      </w:r>
      <w:r w:rsidRPr="00BB4911">
        <w:rPr>
          <w:rFonts w:ascii="標楷體" w:eastAsia="標楷體" w:hAnsi="標楷體" w:hint="eastAsia"/>
          <w:spacing w:val="-16"/>
          <w:sz w:val="24"/>
          <w:szCs w:val="24"/>
        </w:rPr>
        <w:t>二、銀行法第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32</w:t>
      </w:r>
      <w:r w:rsidRPr="00BB4911">
        <w:rPr>
          <w:rFonts w:ascii="標楷體" w:eastAsia="標楷體" w:hAnsi="標楷體" w:hint="eastAsia"/>
          <w:sz w:val="24"/>
          <w:szCs w:val="24"/>
        </w:rPr>
        <w:t>、</w:t>
      </w:r>
      <w:r w:rsidRPr="00BB4911">
        <w:rPr>
          <w:rFonts w:ascii="標楷體" w:eastAsia="標楷體" w:hAnsi="標楷體"/>
          <w:sz w:val="24"/>
          <w:szCs w:val="24"/>
        </w:rPr>
        <w:t>33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條有關利害關係人授信限制規定，旨在避免</w:t>
      </w:r>
      <w:r w:rsidRPr="00BB4911">
        <w:rPr>
          <w:rFonts w:ascii="標楷體" w:eastAsia="標楷體" w:hAnsi="標楷體" w:hint="eastAsia"/>
          <w:spacing w:val="3"/>
          <w:w w:val="95"/>
          <w:sz w:val="24"/>
          <w:szCs w:val="24"/>
        </w:rPr>
        <w:t>利害關係</w:t>
      </w:r>
    </w:p>
    <w:p w:rsidR="00DA4CCF" w:rsidRPr="00BB4911" w:rsidRDefault="00DA4CCF" w:rsidP="00DA4CCF">
      <w:pPr>
        <w:kinsoku w:val="0"/>
        <w:overflowPunct w:val="0"/>
        <w:spacing w:before="2" w:line="256" w:lineRule="auto"/>
        <w:ind w:left="1135" w:right="84" w:hanging="735"/>
        <w:rPr>
          <w:rFonts w:ascii="標楷體" w:eastAsia="標楷體" w:hAnsi="標楷體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w w:val="95"/>
          <w:sz w:val="24"/>
          <w:szCs w:val="24"/>
        </w:rPr>
        <w:t xml:space="preserve">      </w:t>
      </w:r>
      <w:r w:rsidRPr="00BB4911">
        <w:rPr>
          <w:rFonts w:ascii="標楷體" w:eastAsia="標楷體" w:hAnsi="標楷體" w:hint="eastAsia"/>
          <w:spacing w:val="3"/>
          <w:w w:val="95"/>
          <w:sz w:val="24"/>
          <w:szCs w:val="24"/>
        </w:rPr>
        <w:t>人利用職務之便或透過關切不當干預授信之決定。依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信託法第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條規定：「稱信託者，謂委託人將財產權移轉或為其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他處分，使受託人依信託本旨，為受益人之利益或為特定之目</w:t>
      </w:r>
      <w:r w:rsidRPr="00BB4911">
        <w:rPr>
          <w:rFonts w:ascii="標楷體" w:eastAsia="標楷體" w:hAnsi="標楷體" w:hint="eastAsia"/>
          <w:spacing w:val="-1"/>
          <w:sz w:val="24"/>
          <w:szCs w:val="24"/>
        </w:rPr>
        <w:t>的，管理或處分信託財產之關係。」第</w:t>
      </w:r>
      <w:r w:rsidRPr="00BB4911">
        <w:rPr>
          <w:rFonts w:ascii="標楷體" w:eastAsia="標楷體" w:hAnsi="標楷體"/>
          <w:spacing w:val="-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24</w:t>
      </w:r>
      <w:r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7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27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9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9"/>
          <w:sz w:val="24"/>
          <w:szCs w:val="24"/>
        </w:rPr>
        <w:t>項規定：「受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託人應將信託財產與其自有財產及其他信託財產分別管理。信託財產為金錢者，得以分別記帳方式為之。」</w:t>
      </w:r>
    </w:p>
    <w:p w:rsidR="00DA4CCF" w:rsidRPr="00BB4911" w:rsidRDefault="00DA4CCF" w:rsidP="00DA4CCF">
      <w:pPr>
        <w:kinsoku w:val="0"/>
        <w:overflowPunct w:val="0"/>
        <w:spacing w:before="4"/>
        <w:ind w:left="4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4"/>
          <w:sz w:val="24"/>
          <w:szCs w:val="24"/>
        </w:rPr>
        <w:t xml:space="preserve">  </w:t>
      </w:r>
      <w:r w:rsidRPr="00BB4911">
        <w:rPr>
          <w:rFonts w:ascii="標楷體" w:eastAsia="標楷體" w:hAnsi="標楷體" w:hint="eastAsia"/>
          <w:spacing w:val="-4"/>
          <w:sz w:val="24"/>
          <w:szCs w:val="24"/>
        </w:rPr>
        <w:t>三、依以上法律之規定及目的，本會於</w:t>
      </w:r>
      <w:r w:rsidRPr="00BB4911">
        <w:rPr>
          <w:rFonts w:ascii="標楷體" w:eastAsia="標楷體" w:hAnsi="標楷體"/>
          <w:spacing w:val="-4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95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9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25</w:t>
      </w:r>
      <w:r w:rsidRPr="00BB4911">
        <w:rPr>
          <w:rFonts w:ascii="標楷體" w:eastAsia="標楷體" w:hAnsi="標楷體"/>
          <w:spacing w:val="-12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2"/>
          <w:sz w:val="24"/>
          <w:szCs w:val="24"/>
        </w:rPr>
        <w:t>日金管銀</w:t>
      </w:r>
      <w:r w:rsidRPr="00BB4911">
        <w:rPr>
          <w:rFonts w:ascii="標楷體" w:eastAsia="標楷體" w:hAnsi="標楷體" w:hint="eastAsia"/>
          <w:sz w:val="24"/>
          <w:szCs w:val="24"/>
        </w:rPr>
        <w:t>（四）</w:t>
      </w:r>
    </w:p>
    <w:p w:rsidR="00DA4CCF" w:rsidRDefault="00DA4CCF" w:rsidP="00DA4CCF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5"/>
          <w:sz w:val="24"/>
          <w:szCs w:val="24"/>
        </w:rPr>
        <w:t xml:space="preserve">      </w:t>
      </w:r>
      <w:r w:rsidRPr="00BB4911">
        <w:rPr>
          <w:rFonts w:ascii="標楷體" w:eastAsia="標楷體" w:hAnsi="標楷體" w:hint="eastAsia"/>
          <w:spacing w:val="5"/>
          <w:sz w:val="24"/>
          <w:szCs w:val="24"/>
        </w:rPr>
        <w:t>字第</w:t>
      </w:r>
      <w:r w:rsidRPr="00BB4911">
        <w:rPr>
          <w:rFonts w:ascii="標楷體" w:eastAsia="標楷體" w:hAnsi="標楷體"/>
          <w:spacing w:val="5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 xml:space="preserve">09500327680 </w:t>
      </w:r>
      <w:r w:rsidRPr="00BB4911">
        <w:rPr>
          <w:rFonts w:ascii="標楷體" w:eastAsia="標楷體" w:hAnsi="標楷體" w:hint="eastAsia"/>
          <w:sz w:val="24"/>
          <w:szCs w:val="24"/>
        </w:rPr>
        <w:t>號函釋：銀行受託辦理之有價證券信託如無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運</w:t>
      </w:r>
    </w:p>
    <w:p w:rsidR="0024300C" w:rsidRDefault="00DA4CCF" w:rsidP="00DA4CCF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pacing w:val="1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用決定權，且銀行未有因信託關係持有該公司股份而擔任該</w:t>
      </w:r>
      <w:r w:rsidRPr="00BB4911">
        <w:rPr>
          <w:rFonts w:ascii="標楷體" w:eastAsia="標楷體" w:hAnsi="標楷體" w:hint="eastAsia"/>
          <w:spacing w:val="1"/>
          <w:sz w:val="24"/>
          <w:szCs w:val="24"/>
        </w:rPr>
        <w:t>公司</w:t>
      </w:r>
    </w:p>
    <w:p w:rsidR="0024300C" w:rsidRDefault="0024300C" w:rsidP="00DA4CCF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pacing w:val="26"/>
          <w:sz w:val="24"/>
          <w:szCs w:val="24"/>
        </w:rPr>
      </w:pPr>
      <w:r>
        <w:rPr>
          <w:rFonts w:ascii="標楷體" w:eastAsia="標楷體" w:hAnsi="標楷體" w:hint="eastAsia"/>
          <w:spacing w:val="1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pacing w:val="1"/>
          <w:sz w:val="24"/>
          <w:szCs w:val="24"/>
        </w:rPr>
        <w:t>董事或監察人之情形，尚無需適用銀行法第</w:t>
      </w:r>
      <w:r w:rsidR="00DA4CCF" w:rsidRPr="00BB4911">
        <w:rPr>
          <w:rFonts w:ascii="標楷體" w:eastAsia="標楷體" w:hAnsi="標楷體"/>
          <w:spacing w:val="1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32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、</w:t>
      </w:r>
      <w:r w:rsidR="00DA4CCF" w:rsidRPr="00BB4911">
        <w:rPr>
          <w:rFonts w:ascii="標楷體" w:eastAsia="標楷體" w:hAnsi="標楷體"/>
          <w:sz w:val="24"/>
          <w:szCs w:val="24"/>
        </w:rPr>
        <w:t>33</w:t>
      </w:r>
      <w:r w:rsidR="00DA4CCF" w:rsidRPr="00BB4911"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-11"/>
          <w:sz w:val="24"/>
          <w:szCs w:val="24"/>
        </w:rPr>
        <w:t>條關係</w:t>
      </w:r>
      <w:r w:rsidR="00DA4CCF" w:rsidRPr="00BB4911">
        <w:rPr>
          <w:rFonts w:ascii="標楷體" w:eastAsia="標楷體" w:hAnsi="標楷體" w:hint="eastAsia"/>
          <w:spacing w:val="26"/>
          <w:sz w:val="24"/>
          <w:szCs w:val="24"/>
        </w:rPr>
        <w:t>人授信</w:t>
      </w:r>
    </w:p>
    <w:p w:rsidR="0024300C" w:rsidRDefault="0024300C" w:rsidP="0024300C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pacing w:val="24"/>
          <w:sz w:val="24"/>
          <w:szCs w:val="24"/>
        </w:rPr>
      </w:pPr>
      <w:r>
        <w:rPr>
          <w:rFonts w:ascii="標楷體" w:eastAsia="標楷體" w:hAnsi="標楷體" w:hint="eastAsia"/>
          <w:spacing w:val="26"/>
          <w:sz w:val="24"/>
          <w:szCs w:val="24"/>
        </w:rPr>
        <w:t xml:space="preserve">    </w:t>
      </w:r>
      <w:r w:rsidR="00DA4CCF" w:rsidRPr="00BB4911">
        <w:rPr>
          <w:rFonts w:ascii="標楷體" w:eastAsia="標楷體" w:hAnsi="標楷體" w:hint="eastAsia"/>
          <w:spacing w:val="26"/>
          <w:sz w:val="24"/>
          <w:szCs w:val="24"/>
        </w:rPr>
        <w:t>之規定。及本會</w:t>
      </w:r>
      <w:r w:rsidR="00DA4CCF" w:rsidRPr="00BB4911">
        <w:rPr>
          <w:rFonts w:ascii="標楷體" w:eastAsia="標楷體" w:hAnsi="標楷體"/>
          <w:spacing w:val="26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100</w:t>
      </w:r>
      <w:r w:rsidR="00DA4CCF" w:rsidRPr="00BB4911">
        <w:rPr>
          <w:rFonts w:ascii="標楷體" w:eastAsia="標楷體" w:hAnsi="標楷體"/>
          <w:spacing w:val="20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20"/>
          <w:sz w:val="24"/>
          <w:szCs w:val="24"/>
        </w:rPr>
        <w:t>年</w:t>
      </w:r>
      <w:r w:rsidR="00DA4CCF" w:rsidRPr="00BB4911">
        <w:rPr>
          <w:rFonts w:ascii="標楷體" w:eastAsia="標楷體" w:hAnsi="標楷體"/>
          <w:spacing w:val="20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8</w:t>
      </w:r>
      <w:r w:rsidR="00DA4CCF" w:rsidRPr="00BB4911">
        <w:rPr>
          <w:rFonts w:ascii="標楷體" w:eastAsia="標楷體" w:hAnsi="標楷體"/>
          <w:spacing w:val="20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20"/>
          <w:sz w:val="24"/>
          <w:szCs w:val="24"/>
        </w:rPr>
        <w:t>月</w:t>
      </w:r>
      <w:r w:rsidR="00DA4CCF" w:rsidRPr="00BB4911">
        <w:rPr>
          <w:rFonts w:ascii="標楷體" w:eastAsia="標楷體" w:hAnsi="標楷體"/>
          <w:spacing w:val="20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26</w:t>
      </w:r>
      <w:r w:rsidR="00DA4CCF" w:rsidRPr="00BB4911">
        <w:rPr>
          <w:rFonts w:ascii="標楷體" w:eastAsia="標楷體" w:hAnsi="標楷體"/>
          <w:spacing w:val="24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24"/>
          <w:sz w:val="24"/>
          <w:szCs w:val="24"/>
        </w:rPr>
        <w:t>日金管銀法字第</w:t>
      </w:r>
    </w:p>
    <w:p w:rsidR="0024300C" w:rsidRDefault="0024300C" w:rsidP="0024300C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pacing w:val="24"/>
          <w:sz w:val="24"/>
          <w:szCs w:val="24"/>
        </w:rPr>
        <w:t xml:space="preserve">    </w:t>
      </w:r>
      <w:r w:rsidR="00DA4CCF" w:rsidRPr="00BB4911">
        <w:rPr>
          <w:rFonts w:ascii="標楷體" w:eastAsia="標楷體" w:hAnsi="標楷體"/>
          <w:sz w:val="24"/>
          <w:szCs w:val="24"/>
        </w:rPr>
        <w:t>10000144190</w:t>
      </w:r>
      <w:r w:rsidR="00DA4CCF" w:rsidRPr="00BB4911">
        <w:rPr>
          <w:rFonts w:ascii="標楷體" w:eastAsia="標楷體" w:hAnsi="標楷體"/>
          <w:spacing w:val="-17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-17"/>
          <w:sz w:val="24"/>
          <w:szCs w:val="24"/>
        </w:rPr>
        <w:t>號函釋：</w:t>
      </w:r>
      <w:r w:rsidR="00DA4CCF" w:rsidRPr="00BB4911">
        <w:rPr>
          <w:rFonts w:ascii="標楷體" w:eastAsia="標楷體" w:hAnsi="標楷體" w:cs="微軟正黑體" w:hint="eastAsia"/>
          <w:b/>
          <w:bCs/>
          <w:sz w:val="24"/>
          <w:szCs w:val="24"/>
        </w:rPr>
        <w:t>銀行與委託人簽訂特定用途管理運用金錢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信託</w:t>
      </w:r>
    </w:p>
    <w:p w:rsidR="0024300C" w:rsidRDefault="0024300C" w:rsidP="0024300C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契約，以受託人名義，投資公司並取得一席董事，本個案銀行對該</w:t>
      </w:r>
      <w:r>
        <w:rPr>
          <w:rFonts w:ascii="標楷體" w:eastAsia="標楷體" w:hAnsi="標楷體" w:hint="eastAsia"/>
          <w:sz w:val="24"/>
          <w:szCs w:val="24"/>
        </w:rPr>
        <w:t xml:space="preserve">         </w:t>
      </w:r>
    </w:p>
    <w:p w:rsidR="0024300C" w:rsidRDefault="0024300C" w:rsidP="0024300C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企業將執行董事職務，兩者已具利害關係之實質，銀行對該企業授</w:t>
      </w:r>
    </w:p>
    <w:p w:rsidR="00DA4CCF" w:rsidRPr="00BB4911" w:rsidRDefault="0024300C" w:rsidP="0024300C">
      <w:pPr>
        <w:kinsoku w:val="0"/>
        <w:overflowPunct w:val="0"/>
        <w:spacing w:before="24" w:line="256" w:lineRule="auto"/>
        <w:ind w:left="400" w:right="224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信應依銀行法第</w:t>
      </w:r>
      <w:r w:rsidR="00DA4CCF" w:rsidRPr="00BB4911">
        <w:rPr>
          <w:rFonts w:ascii="標楷體" w:eastAsia="標楷體" w:hAnsi="標楷體"/>
          <w:sz w:val="24"/>
          <w:szCs w:val="24"/>
        </w:rPr>
        <w:t xml:space="preserve"> 32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、</w:t>
      </w:r>
      <w:r w:rsidR="00DA4CCF" w:rsidRPr="00BB4911">
        <w:rPr>
          <w:rFonts w:ascii="標楷體" w:eastAsia="標楷體" w:hAnsi="標楷體"/>
          <w:sz w:val="24"/>
          <w:szCs w:val="24"/>
        </w:rPr>
        <w:t xml:space="preserve">33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條規定辦理</w:t>
      </w:r>
      <w:r w:rsidR="00DA4CCF" w:rsidRPr="00BB4911">
        <w:rPr>
          <w:rFonts w:ascii="標楷體" w:eastAsia="標楷體" w:hAnsi="標楷體" w:hint="eastAsia"/>
          <w:b/>
          <w:bCs/>
          <w:sz w:val="24"/>
          <w:szCs w:val="24"/>
        </w:rPr>
        <w:t>。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四、參酌銀行法及信託法立法目的及前揭二函釋意旨，本案所詢辦理不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具運用決定權之金錢及有價證券信託業務，以信託財產持有他公司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股份時，可否排除銀行法第</w:t>
      </w:r>
      <w:r w:rsidR="00DA4CCF" w:rsidRPr="00BB4911">
        <w:rPr>
          <w:rFonts w:ascii="標楷體" w:eastAsia="標楷體" w:hAnsi="標楷體"/>
          <w:sz w:val="24"/>
          <w:szCs w:val="24"/>
        </w:rPr>
        <w:t xml:space="preserve">32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條及</w:t>
      </w:r>
      <w:r w:rsidR="00DA4CCF" w:rsidRPr="00BB4911">
        <w:rPr>
          <w:rFonts w:ascii="標楷體" w:eastAsia="標楷體" w:hAnsi="標楷體"/>
          <w:sz w:val="24"/>
          <w:szCs w:val="24"/>
        </w:rPr>
        <w:t xml:space="preserve">33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條之適用原則如</w:t>
      </w:r>
      <w:r w:rsidR="00DA4CCF" w:rsidRPr="00BB4911">
        <w:rPr>
          <w:rFonts w:ascii="標楷體" w:eastAsia="標楷體" w:hAnsi="標楷體" w:hint="eastAsia"/>
          <w:spacing w:val="-10"/>
          <w:sz w:val="24"/>
          <w:szCs w:val="24"/>
        </w:rPr>
        <w:t>下：銀行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（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受託人</w:t>
      </w:r>
      <w:r w:rsidR="00DA4CCF" w:rsidRPr="00BB4911">
        <w:rPr>
          <w:rFonts w:ascii="標楷體" w:eastAsia="標楷體" w:hAnsi="標楷體" w:hint="eastAsia"/>
          <w:spacing w:val="-39"/>
          <w:sz w:val="24"/>
          <w:szCs w:val="24"/>
        </w:rPr>
        <w:t>）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依信託契約約定，於信託期間依委託人出具</w:t>
      </w:r>
      <w:r w:rsidR="00DA4CCF" w:rsidRPr="00BB4911">
        <w:rPr>
          <w:rFonts w:ascii="標楷體" w:eastAsia="標楷體" w:hAnsi="標楷體" w:hint="eastAsia"/>
          <w:spacing w:val="-2"/>
          <w:sz w:val="24"/>
          <w:szCs w:val="24"/>
        </w:rPr>
        <w:t>之指示書行使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pacing w:val="-1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</w:t>
      </w:r>
      <w:r w:rsidR="00DA4CCF" w:rsidRPr="00BB4911">
        <w:rPr>
          <w:rFonts w:ascii="標楷體" w:eastAsia="標楷體" w:hAnsi="標楷體" w:hint="eastAsia"/>
          <w:spacing w:val="-2"/>
          <w:sz w:val="24"/>
          <w:szCs w:val="24"/>
        </w:rPr>
        <w:t>股東權利，尚無需適用銀行法第</w:t>
      </w:r>
      <w:r w:rsidR="00DA4CCF" w:rsidRPr="00BB4911">
        <w:rPr>
          <w:rFonts w:ascii="標楷體" w:eastAsia="標楷體" w:hAnsi="標楷體"/>
          <w:spacing w:val="-2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32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、</w:t>
      </w:r>
      <w:r w:rsidR="00DA4CCF" w:rsidRPr="00BB4911">
        <w:rPr>
          <w:rFonts w:ascii="標楷體" w:eastAsia="標楷體" w:hAnsi="標楷體"/>
          <w:sz w:val="24"/>
          <w:szCs w:val="24"/>
        </w:rPr>
        <w:t>33</w:t>
      </w:r>
      <w:r w:rsidR="00DA4CCF" w:rsidRPr="00BB4911">
        <w:rPr>
          <w:rFonts w:ascii="標楷體" w:eastAsia="標楷體" w:hAnsi="標楷體"/>
          <w:spacing w:val="-9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 w:hint="eastAsia"/>
          <w:spacing w:val="-9"/>
          <w:sz w:val="24"/>
          <w:szCs w:val="24"/>
        </w:rPr>
        <w:t>條利害關</w:t>
      </w:r>
      <w:r w:rsidR="00DA4CCF" w:rsidRPr="00BB4911">
        <w:rPr>
          <w:rFonts w:ascii="標楷體" w:eastAsia="標楷體" w:hAnsi="標楷體" w:hint="eastAsia"/>
          <w:spacing w:val="-12"/>
          <w:sz w:val="24"/>
          <w:szCs w:val="24"/>
        </w:rPr>
        <w:t>係人授信之規定；惟</w:t>
      </w:r>
    </w:p>
    <w:p w:rsidR="0024300C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 w:hint="eastAsia"/>
          <w:spacing w:val="1"/>
          <w:sz w:val="24"/>
          <w:szCs w:val="24"/>
        </w:rPr>
      </w:pPr>
      <w:r>
        <w:rPr>
          <w:rFonts w:ascii="標楷體" w:eastAsia="標楷體" w:hAnsi="標楷體" w:hint="eastAsia"/>
          <w:spacing w:val="-12"/>
          <w:sz w:val="24"/>
          <w:szCs w:val="24"/>
        </w:rPr>
        <w:t xml:space="preserve">       </w:t>
      </w:r>
      <w:r w:rsidR="00DA4CCF" w:rsidRPr="00BB4911">
        <w:rPr>
          <w:rFonts w:ascii="標楷體" w:eastAsia="標楷體" w:hAnsi="標楷體" w:hint="eastAsia"/>
          <w:spacing w:val="-12"/>
          <w:sz w:val="24"/>
          <w:szCs w:val="24"/>
        </w:rPr>
        <w:t>如擔任董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（監</w:t>
      </w:r>
      <w:r w:rsidR="00DA4CCF" w:rsidRPr="00BB4911">
        <w:rPr>
          <w:rFonts w:ascii="標楷體" w:eastAsia="標楷體" w:hAnsi="標楷體" w:hint="eastAsia"/>
          <w:spacing w:val="-39"/>
          <w:sz w:val="24"/>
          <w:szCs w:val="24"/>
        </w:rPr>
        <w:t>）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事且指派執行職務之代表人</w:t>
      </w:r>
      <w:r w:rsidR="00DA4CCF" w:rsidRPr="00BB4911">
        <w:rPr>
          <w:rFonts w:ascii="標楷體" w:eastAsia="標楷體" w:hAnsi="標楷體" w:hint="eastAsia"/>
          <w:spacing w:val="1"/>
          <w:sz w:val="24"/>
          <w:szCs w:val="24"/>
        </w:rPr>
        <w:t>為銀行負責人，已具利害</w:t>
      </w:r>
    </w:p>
    <w:p w:rsidR="00DA4CCF" w:rsidRPr="00BB4911" w:rsidRDefault="0024300C" w:rsidP="00DA4CCF">
      <w:pPr>
        <w:kinsoku w:val="0"/>
        <w:overflowPunct w:val="0"/>
        <w:spacing w:before="16" w:line="256" w:lineRule="auto"/>
        <w:ind w:left="883" w:right="226" w:hanging="4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1"/>
          <w:sz w:val="24"/>
          <w:szCs w:val="24"/>
        </w:rPr>
        <w:t xml:space="preserve">     </w:t>
      </w:r>
      <w:r w:rsidR="00DA4CCF" w:rsidRPr="00BB4911">
        <w:rPr>
          <w:rFonts w:ascii="標楷體" w:eastAsia="標楷體" w:hAnsi="標楷體" w:hint="eastAsia"/>
          <w:spacing w:val="1"/>
          <w:sz w:val="24"/>
          <w:szCs w:val="24"/>
        </w:rPr>
        <w:t>關係之實質，仍應依銀行法第</w:t>
      </w:r>
      <w:r w:rsidR="00DA4CCF" w:rsidRPr="00BB4911">
        <w:rPr>
          <w:rFonts w:ascii="標楷體" w:eastAsia="標楷體" w:hAnsi="標楷體"/>
          <w:spacing w:val="1"/>
          <w:sz w:val="24"/>
          <w:szCs w:val="24"/>
        </w:rPr>
        <w:t xml:space="preserve"> </w:t>
      </w:r>
      <w:r w:rsidR="00DA4CCF" w:rsidRPr="00BB4911">
        <w:rPr>
          <w:rFonts w:ascii="標楷體" w:eastAsia="標楷體" w:hAnsi="標楷體"/>
          <w:sz w:val="24"/>
          <w:szCs w:val="24"/>
        </w:rPr>
        <w:t>32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、</w:t>
      </w:r>
      <w:r w:rsidR="00DA4CCF" w:rsidRPr="00BB4911">
        <w:rPr>
          <w:rFonts w:ascii="標楷體" w:eastAsia="標楷體" w:hAnsi="標楷體"/>
          <w:sz w:val="24"/>
          <w:szCs w:val="24"/>
        </w:rPr>
        <w:t xml:space="preserve">33 </w:t>
      </w:r>
      <w:r w:rsidR="00DA4CCF" w:rsidRPr="00BB4911">
        <w:rPr>
          <w:rFonts w:ascii="標楷體" w:eastAsia="標楷體" w:hAnsi="標楷體" w:hint="eastAsia"/>
          <w:sz w:val="24"/>
          <w:szCs w:val="24"/>
        </w:rPr>
        <w:t>條規定辦理。</w:t>
      </w:r>
    </w:p>
    <w:p w:rsidR="00DA4CCF" w:rsidRDefault="00DA4CCF" w:rsidP="00DA4CCF">
      <w:pPr>
        <w:kinsoku w:val="0"/>
        <w:overflowPunct w:val="0"/>
        <w:spacing w:before="4" w:line="256" w:lineRule="auto"/>
        <w:ind w:left="883" w:right="229" w:hanging="483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五、銀行辦理旨揭業務，應確實遵守相關法規及自律規定，並落實內部控制制度。</w:t>
      </w:r>
    </w:p>
    <w:p w:rsidR="00FB3324" w:rsidRPr="00DA4CCF" w:rsidRDefault="00FB3324" w:rsidP="00DA4CCF"/>
    <w:sectPr w:rsidR="00FB3324" w:rsidRPr="00DA4C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C7" w:rsidRDefault="004211C7" w:rsidP="00CC62D6">
      <w:r>
        <w:separator/>
      </w:r>
    </w:p>
  </w:endnote>
  <w:endnote w:type="continuationSeparator" w:id="0">
    <w:p w:rsidR="004211C7" w:rsidRDefault="004211C7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2876"/>
      <w:docPartObj>
        <w:docPartGallery w:val="Page Numbers (Bottom of Page)"/>
        <w:docPartUnique/>
      </w:docPartObj>
    </w:sdtPr>
    <w:sdtEndPr/>
    <w:sdtContent>
      <w:p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C7" w:rsidRPr="004211C7">
          <w:rPr>
            <w:noProof/>
            <w:lang w:val="zh-TW"/>
          </w:rPr>
          <w:t>1</w:t>
        </w:r>
        <w:r>
          <w:fldChar w:fldCharType="end"/>
        </w:r>
      </w:p>
    </w:sdtContent>
  </w:sdt>
  <w:p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C7" w:rsidRDefault="004211C7" w:rsidP="00CC62D6">
      <w:r>
        <w:separator/>
      </w:r>
    </w:p>
  </w:footnote>
  <w:footnote w:type="continuationSeparator" w:id="0">
    <w:p w:rsidR="004211C7" w:rsidRDefault="004211C7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B"/>
    <w:rsid w:val="0009533B"/>
    <w:rsid w:val="000E17B1"/>
    <w:rsid w:val="0024300C"/>
    <w:rsid w:val="00291F6F"/>
    <w:rsid w:val="002C2E53"/>
    <w:rsid w:val="00334F61"/>
    <w:rsid w:val="00343A25"/>
    <w:rsid w:val="004211C7"/>
    <w:rsid w:val="006532F6"/>
    <w:rsid w:val="006C21FA"/>
    <w:rsid w:val="006E1966"/>
    <w:rsid w:val="007065AA"/>
    <w:rsid w:val="008D4D0C"/>
    <w:rsid w:val="00997659"/>
    <w:rsid w:val="00B54398"/>
    <w:rsid w:val="00CC62D6"/>
    <w:rsid w:val="00DA4CCF"/>
    <w:rsid w:val="00DC4FF6"/>
    <w:rsid w:val="00DD0903"/>
    <w:rsid w:val="00F75161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Gwin7User</cp:lastModifiedBy>
  <cp:revision>2</cp:revision>
  <dcterms:created xsi:type="dcterms:W3CDTF">2026-01-19T02:15:00Z</dcterms:created>
  <dcterms:modified xsi:type="dcterms:W3CDTF">2026-01-19T02:15:00Z</dcterms:modified>
</cp:coreProperties>
</file>