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1C60" w14:textId="1D8B9555" w:rsidR="002D01E1" w:rsidRPr="00DF53FC" w:rsidRDefault="00DF53FC" w:rsidP="00DF53FC">
      <w:pPr>
        <w:kinsoku w:val="0"/>
        <w:overflowPunct w:val="0"/>
        <w:spacing w:before="119"/>
        <w:rPr>
          <w:rFonts w:ascii="標楷體" w:eastAsia="標楷體" w:hAnsi="標楷體"/>
          <w:b/>
          <w:bCs/>
          <w:sz w:val="28"/>
          <w:szCs w:val="28"/>
        </w:rPr>
      </w:pPr>
      <w:r w:rsidRPr="00DF53FC">
        <w:rPr>
          <w:rFonts w:ascii="標楷體" w:eastAsia="標楷體" w:hAnsi="標楷體" w:cs="微軟正黑體" w:hint="eastAsia"/>
          <w:b/>
          <w:bCs/>
          <w:sz w:val="28"/>
          <w:szCs w:val="28"/>
        </w:rPr>
        <w:t>【行政函釋】</w:t>
      </w:r>
    </w:p>
    <w:p w14:paraId="612DBFC6" w14:textId="58EDDF19" w:rsidR="002D01E1" w:rsidRPr="002D01E1" w:rsidRDefault="002D01E1" w:rsidP="002D01E1">
      <w:pPr>
        <w:rPr>
          <w:rFonts w:ascii="標楷體" w:eastAsia="標楷體" w:hAnsi="標楷體"/>
          <w:b/>
          <w:bCs/>
          <w:sz w:val="28"/>
          <w:szCs w:val="28"/>
        </w:rPr>
      </w:pPr>
      <w:r w:rsidRPr="002D01E1">
        <w:rPr>
          <w:rFonts w:ascii="標楷體" w:eastAsia="標楷體" w:hAnsi="標楷體" w:hint="eastAsia"/>
          <w:b/>
          <w:bCs/>
          <w:sz w:val="28"/>
          <w:szCs w:val="28"/>
        </w:rPr>
        <w:t>1351007-信01-信託法第 1 條等規定參照，委託人將其財產權移轉於受託人，如自己仍保有實際支配及收益權利者，其移轉縱以信託為名，尚非信託-101-03-01-10000051120 號</w:t>
      </w:r>
    </w:p>
    <w:p w14:paraId="3322F01D" w14:textId="77777777" w:rsidR="002D01E1" w:rsidRPr="002D01E1" w:rsidRDefault="002D01E1" w:rsidP="002D01E1">
      <w:pPr>
        <w:rPr>
          <w:rFonts w:ascii="標楷體" w:eastAsia="標楷體" w:hAnsi="標楷體"/>
          <w:sz w:val="28"/>
          <w:szCs w:val="28"/>
        </w:rPr>
      </w:pPr>
      <w:bookmarkStart w:id="0" w:name="_Toc128286559"/>
      <w:r w:rsidRPr="002D01E1">
        <w:rPr>
          <w:rFonts w:ascii="標楷體" w:eastAsia="標楷體" w:hAnsi="標楷體" w:hint="eastAsia"/>
          <w:sz w:val="28"/>
          <w:szCs w:val="28"/>
        </w:rPr>
        <w:t>7.  【法務部 101 年 3 月 1 日法律決字第 10000051120 號】</w:t>
      </w:r>
      <w:bookmarkEnd w:id="0"/>
    </w:p>
    <w:p w14:paraId="5E625290" w14:textId="77777777" w:rsidR="002D01E1" w:rsidRPr="002D01E1" w:rsidRDefault="002D01E1" w:rsidP="002D01E1">
      <w:pPr>
        <w:rPr>
          <w:rFonts w:ascii="標楷體" w:eastAsia="標楷體" w:hAnsi="標楷體"/>
          <w:sz w:val="28"/>
          <w:szCs w:val="28"/>
        </w:rPr>
      </w:pPr>
      <w:r w:rsidRPr="002D01E1">
        <w:rPr>
          <w:rFonts w:ascii="標楷體" w:eastAsia="標楷體" w:hAnsi="標楷體" w:hint="eastAsia"/>
          <w:sz w:val="28"/>
          <w:szCs w:val="28"/>
        </w:rPr>
        <w:t>要旨：信託法第 1 條等規定參照，委託人將其財產權移轉於受託人，如自己仍保有實際支配及收益權利者，其移轉縱以信託為名，尚非信託法之信託。</w:t>
      </w:r>
    </w:p>
    <w:p w14:paraId="6095C499" w14:textId="77777777" w:rsidR="00DF53FC" w:rsidRDefault="002D01E1" w:rsidP="002D01E1">
      <w:pPr>
        <w:rPr>
          <w:rFonts w:ascii="標楷體" w:eastAsia="標楷體" w:hAnsi="標楷體"/>
          <w:sz w:val="28"/>
          <w:szCs w:val="28"/>
        </w:rPr>
      </w:pPr>
      <w:r w:rsidRPr="002D01E1">
        <w:rPr>
          <w:rFonts w:ascii="標楷體" w:eastAsia="標楷體" w:hAnsi="標楷體" w:hint="eastAsia"/>
          <w:sz w:val="28"/>
          <w:szCs w:val="28"/>
        </w:rPr>
        <w:t>說明：一、復貴公會 100 年 12 月 9 日中</w:t>
      </w:r>
      <w:proofErr w:type="gramStart"/>
      <w:r w:rsidRPr="002D01E1">
        <w:rPr>
          <w:rFonts w:ascii="標楷體" w:eastAsia="標楷體" w:hAnsi="標楷體" w:hint="eastAsia"/>
          <w:sz w:val="28"/>
          <w:szCs w:val="28"/>
        </w:rPr>
        <w:t>託業字</w:t>
      </w:r>
      <w:proofErr w:type="gramEnd"/>
      <w:r w:rsidRPr="002D01E1">
        <w:rPr>
          <w:rFonts w:ascii="標楷體" w:eastAsia="標楷體" w:hAnsi="標楷體" w:hint="eastAsia"/>
          <w:sz w:val="28"/>
          <w:szCs w:val="28"/>
        </w:rPr>
        <w:t xml:space="preserve">第 1000000983 </w:t>
      </w:r>
    </w:p>
    <w:p w14:paraId="7D0649D5" w14:textId="4842BBD3" w:rsidR="002D01E1" w:rsidRPr="002D01E1"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號函。</w:t>
      </w:r>
    </w:p>
    <w:p w14:paraId="49530F61"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二、按信託法第 1 條規定：「稱信託者，謂委託人將財產權</w:t>
      </w:r>
    </w:p>
    <w:p w14:paraId="1641B30D"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移轉或為其他處分，使受託人依信託本旨，為受益人之</w:t>
      </w:r>
    </w:p>
    <w:p w14:paraId="6481FB11"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利益或為特定之目的，管理或處分信託財產之關係。」</w:t>
      </w:r>
    </w:p>
    <w:p w14:paraId="59566DBE"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proofErr w:type="gramStart"/>
      <w:r w:rsidR="002D01E1" w:rsidRPr="002D01E1">
        <w:rPr>
          <w:rFonts w:ascii="標楷體" w:eastAsia="標楷體" w:hAnsi="標楷體" w:hint="eastAsia"/>
          <w:sz w:val="28"/>
          <w:szCs w:val="28"/>
        </w:rPr>
        <w:t>準</w:t>
      </w:r>
      <w:proofErr w:type="gramEnd"/>
      <w:r w:rsidR="002D01E1" w:rsidRPr="002D01E1">
        <w:rPr>
          <w:rFonts w:ascii="標楷體" w:eastAsia="標楷體" w:hAnsi="標楷體" w:hint="eastAsia"/>
          <w:sz w:val="28"/>
          <w:szCs w:val="28"/>
        </w:rPr>
        <w:t>此，信託關係之成立， 除須有信託財產之移轉或其他</w:t>
      </w:r>
    </w:p>
    <w:p w14:paraId="3B9F58DF"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處分外，尚須受託人因此取得信託財產之管理或處分權</w:t>
      </w:r>
    </w:p>
    <w:p w14:paraId="54F8A84A"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限；倘受託人對於信託財產並無管理或處分之權限而屬</w:t>
      </w:r>
    </w:p>
    <w:p w14:paraId="1291B4F4" w14:textId="77777777" w:rsidR="00DF53FC"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於消極信託者，因消極信託之受託人僅為信託財產之形</w:t>
      </w:r>
    </w:p>
    <w:p w14:paraId="384B3D1D" w14:textId="77777777" w:rsidR="00E57F2F" w:rsidRDefault="00DF53FC" w:rsidP="002D01E1">
      <w:pPr>
        <w:rPr>
          <w:rFonts w:ascii="標楷體" w:eastAsia="標楷體" w:hAnsi="標楷體"/>
          <w:sz w:val="28"/>
          <w:szCs w:val="28"/>
        </w:rPr>
      </w:pPr>
      <w:r>
        <w:rPr>
          <w:rFonts w:ascii="標楷體" w:eastAsia="標楷體" w:hAnsi="標楷體" w:hint="eastAsia"/>
          <w:sz w:val="28"/>
          <w:szCs w:val="28"/>
        </w:rPr>
        <w:t xml:space="preserve">          </w:t>
      </w:r>
      <w:r w:rsidR="002D01E1" w:rsidRPr="002D01E1">
        <w:rPr>
          <w:rFonts w:ascii="標楷體" w:eastAsia="標楷體" w:hAnsi="標楷體" w:hint="eastAsia"/>
          <w:sz w:val="28"/>
          <w:szCs w:val="28"/>
        </w:rPr>
        <w:t>式所有人，似不符合信託法第 1 條所規定「受託人依信</w:t>
      </w:r>
    </w:p>
    <w:p w14:paraId="754B6351" w14:textId="7D88CDA1" w:rsidR="002D01E1" w:rsidRPr="002D01E1" w:rsidRDefault="00E57F2F" w:rsidP="002D01E1">
      <w:pPr>
        <w:rPr>
          <w:rFonts w:ascii="標楷體" w:eastAsia="標楷體" w:hAnsi="標楷體"/>
          <w:sz w:val="28"/>
          <w:szCs w:val="28"/>
        </w:rPr>
      </w:pPr>
      <w:r>
        <w:rPr>
          <w:rFonts w:ascii="標楷體" w:eastAsia="標楷體" w:hAnsi="標楷體" w:hint="eastAsia"/>
          <w:sz w:val="28"/>
          <w:szCs w:val="28"/>
        </w:rPr>
        <w:t xml:space="preserve">          </w:t>
      </w:r>
      <w:proofErr w:type="gramStart"/>
      <w:r w:rsidR="002D01E1" w:rsidRPr="002D01E1">
        <w:rPr>
          <w:rFonts w:ascii="標楷體" w:eastAsia="標楷體" w:hAnsi="標楷體" w:hint="eastAsia"/>
          <w:sz w:val="28"/>
          <w:szCs w:val="28"/>
        </w:rPr>
        <w:t>託</w:t>
      </w:r>
      <w:proofErr w:type="gramEnd"/>
      <w:r w:rsidR="002D01E1" w:rsidRPr="002D01E1">
        <w:rPr>
          <w:rFonts w:ascii="標楷體" w:eastAsia="標楷體" w:hAnsi="標楷體" w:hint="eastAsia"/>
          <w:sz w:val="28"/>
          <w:szCs w:val="28"/>
        </w:rPr>
        <w:t>本旨管理或處分信託財產」之要件，非屬我國信託法</w:t>
      </w:r>
      <w:r w:rsidR="002D01E1" w:rsidRPr="002D01E1">
        <w:rPr>
          <w:rFonts w:ascii="標楷體" w:eastAsia="標楷體" w:hAnsi="標楷體" w:hint="eastAsia"/>
          <w:sz w:val="28"/>
          <w:szCs w:val="28"/>
        </w:rPr>
        <w:lastRenderedPageBreak/>
        <w:t>上所稱之信託。申言之，委託人將其財產權移轉於受託人，如自己仍保有實際支配及收益之權利者，其移轉縱以「信託」為名，尚非信託法之信託，</w:t>
      </w:r>
      <w:proofErr w:type="gramStart"/>
      <w:r w:rsidR="002D01E1" w:rsidRPr="002D01E1">
        <w:rPr>
          <w:rFonts w:ascii="標楷體" w:eastAsia="標楷體" w:hAnsi="標楷體" w:hint="eastAsia"/>
          <w:sz w:val="28"/>
          <w:szCs w:val="28"/>
        </w:rPr>
        <w:t>合先敘</w:t>
      </w:r>
      <w:proofErr w:type="gramEnd"/>
      <w:r w:rsidR="002D01E1" w:rsidRPr="002D01E1">
        <w:rPr>
          <w:rFonts w:ascii="標楷體" w:eastAsia="標楷體" w:hAnsi="標楷體" w:hint="eastAsia"/>
          <w:sz w:val="28"/>
          <w:szCs w:val="28"/>
        </w:rPr>
        <w:t>明（本部99 年2 月9 日法律字第0980054764 號函參照）。</w:t>
      </w:r>
    </w:p>
    <w:p w14:paraId="4E5236D6" w14:textId="65C78ACA" w:rsidR="00343A25" w:rsidRPr="002D01E1" w:rsidRDefault="002D01E1" w:rsidP="002D01E1">
      <w:pPr>
        <w:rPr>
          <w:rFonts w:ascii="標楷體" w:eastAsia="標楷體" w:hAnsi="標楷體"/>
          <w:sz w:val="28"/>
          <w:szCs w:val="28"/>
        </w:rPr>
      </w:pPr>
      <w:r w:rsidRPr="002D01E1">
        <w:rPr>
          <w:rFonts w:ascii="標楷體" w:eastAsia="標楷體" w:hAnsi="標楷體" w:hint="eastAsia"/>
          <w:sz w:val="28"/>
          <w:szCs w:val="28"/>
        </w:rPr>
        <w:t>三、次按受託人未被賦予裁量權，無須為判斷，僅須依信託條款訂定，或依他人之指示管理或處分信託財產之信託，稱為事務信託，或稱指示信託。事務信託或指示信託之受託人對信託財產仍具有管理權，與前開所述委託人未將信託財產之管理或處分權授予受託人，或受託人對於信託財產完全不負管理或處分義務之消極信託，並不相同（本部 92 年 10 月 6 日法律字第0920038921 號函參照）。貴公會來函說明二略</w:t>
      </w:r>
      <w:proofErr w:type="gramStart"/>
      <w:r w:rsidRPr="002D01E1">
        <w:rPr>
          <w:rFonts w:ascii="標楷體" w:eastAsia="標楷體" w:hAnsi="標楷體" w:hint="eastAsia"/>
          <w:sz w:val="28"/>
          <w:szCs w:val="28"/>
        </w:rPr>
        <w:t>以</w:t>
      </w:r>
      <w:proofErr w:type="gramEnd"/>
      <w:r w:rsidRPr="002D01E1">
        <w:rPr>
          <w:rFonts w:ascii="標楷體" w:eastAsia="標楷體" w:hAnsi="標楷體" w:hint="eastAsia"/>
          <w:sz w:val="28"/>
          <w:szCs w:val="28"/>
        </w:rPr>
        <w:t>，建議信託契約約定由○○業擔任公寓大廈之公共基金之受託人，且約定委託人保留對信託財產之運用決定權乙節，其性質上究屬消極信託或指示信託，須視具體個案之信託約款內容個別判斷之，復因本件尚涉及信託業法第 25 條及該法施行細則第 7 條、第 8 條之解釋與適用，</w:t>
      </w:r>
      <w:proofErr w:type="gramStart"/>
      <w:r w:rsidRPr="002D01E1">
        <w:rPr>
          <w:rFonts w:ascii="標楷體" w:eastAsia="標楷體" w:hAnsi="標楷體" w:hint="eastAsia"/>
          <w:sz w:val="28"/>
          <w:szCs w:val="28"/>
        </w:rPr>
        <w:t>如貴公會</w:t>
      </w:r>
      <w:proofErr w:type="gramEnd"/>
      <w:r w:rsidRPr="002D01E1">
        <w:rPr>
          <w:rFonts w:ascii="標楷體" w:eastAsia="標楷體" w:hAnsi="標楷體" w:hint="eastAsia"/>
          <w:sz w:val="28"/>
          <w:szCs w:val="28"/>
        </w:rPr>
        <w:t>認有需要，得再洽商行政院金融監督管理委員會意見。至公寓大廈之公共基金是否能以上開方式辦理及運用是否符合公寓大廈管理條例第 18 條第 3 項規定之立法意旨，仍以公寓大廈管理條例主管機關內政部之意見為</w:t>
      </w:r>
      <w:proofErr w:type="gramStart"/>
      <w:r w:rsidRPr="002D01E1">
        <w:rPr>
          <w:rFonts w:ascii="標楷體" w:eastAsia="標楷體" w:hAnsi="標楷體" w:hint="eastAsia"/>
          <w:sz w:val="28"/>
          <w:szCs w:val="28"/>
        </w:rPr>
        <w:t>準</w:t>
      </w:r>
      <w:proofErr w:type="gramEnd"/>
      <w:r w:rsidRPr="002D01E1">
        <w:rPr>
          <w:rFonts w:ascii="標楷體" w:eastAsia="標楷體" w:hAnsi="標楷體" w:hint="eastAsia"/>
          <w:sz w:val="28"/>
          <w:szCs w:val="28"/>
        </w:rPr>
        <w:t>。</w:t>
      </w:r>
    </w:p>
    <w:sectPr w:rsidR="00343A25" w:rsidRPr="002D01E1">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D5588" w14:textId="77777777" w:rsidR="00EE2B4A" w:rsidRDefault="00EE2B4A" w:rsidP="00CC62D6">
      <w:r>
        <w:separator/>
      </w:r>
    </w:p>
  </w:endnote>
  <w:endnote w:type="continuationSeparator" w:id="0">
    <w:p w14:paraId="588172A4" w14:textId="77777777" w:rsidR="00EE2B4A" w:rsidRDefault="00EE2B4A" w:rsidP="00CC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392876"/>
      <w:docPartObj>
        <w:docPartGallery w:val="Page Numbers (Bottom of Page)"/>
        <w:docPartUnique/>
      </w:docPartObj>
    </w:sdtPr>
    <w:sdtContent>
      <w:p w14:paraId="27AED2D5" w14:textId="77777777" w:rsidR="00B54398" w:rsidRDefault="00B54398">
        <w:pPr>
          <w:pStyle w:val="a5"/>
          <w:jc w:val="center"/>
        </w:pPr>
        <w:r>
          <w:fldChar w:fldCharType="begin"/>
        </w:r>
        <w:r>
          <w:instrText>PAGE   \* MERGEFORMAT</w:instrText>
        </w:r>
        <w:r>
          <w:fldChar w:fldCharType="separate"/>
        </w:r>
        <w:r w:rsidR="00EA7B6F" w:rsidRPr="00EA7B6F">
          <w:rPr>
            <w:noProof/>
            <w:lang w:val="zh-TW"/>
          </w:rPr>
          <w:t>18</w:t>
        </w:r>
        <w:r>
          <w:fldChar w:fldCharType="end"/>
        </w:r>
      </w:p>
    </w:sdtContent>
  </w:sdt>
  <w:p w14:paraId="78DAF4FE" w14:textId="77777777" w:rsidR="00B54398" w:rsidRDefault="00B543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26ED" w14:textId="77777777" w:rsidR="00EE2B4A" w:rsidRDefault="00EE2B4A" w:rsidP="00CC62D6">
      <w:r>
        <w:separator/>
      </w:r>
    </w:p>
  </w:footnote>
  <w:footnote w:type="continuationSeparator" w:id="0">
    <w:p w14:paraId="68293222" w14:textId="77777777" w:rsidR="00EE2B4A" w:rsidRDefault="00EE2B4A" w:rsidP="00CC6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4E"/>
    <w:multiLevelType w:val="multilevel"/>
    <w:tmpl w:val="6E122F06"/>
    <w:lvl w:ilvl="0">
      <w:start w:val="2"/>
      <w:numFmt w:val="decimal"/>
      <w:pStyle w:val="5"/>
      <w:lvlText w:val="%1."/>
      <w:lvlJc w:val="left"/>
      <w:pPr>
        <w:ind w:left="341" w:hanging="341"/>
      </w:pPr>
      <w:rPr>
        <w:rFonts w:ascii="Calibri" w:hAnsi="Calibri" w:cs="Calibri"/>
        <w:b/>
        <w:bCs/>
        <w:w w:val="99"/>
        <w:sz w:val="24"/>
        <w:szCs w:val="24"/>
      </w:rPr>
    </w:lvl>
    <w:lvl w:ilvl="1">
      <w:numFmt w:val="bullet"/>
      <w:lvlText w:val="○"/>
      <w:lvlJc w:val="left"/>
      <w:pPr>
        <w:ind w:left="528" w:hanging="243"/>
      </w:pPr>
      <w:rPr>
        <w:rFonts w:ascii="細明體_HKSCS" w:hAnsi="Times New Roman" w:cs="細明體_HKSCS"/>
        <w:b w:val="0"/>
        <w:bCs w:val="0"/>
        <w:spacing w:val="2"/>
        <w:w w:val="99"/>
        <w:sz w:val="22"/>
        <w:szCs w:val="22"/>
      </w:rPr>
    </w:lvl>
    <w:lvl w:ilvl="2">
      <w:numFmt w:val="bullet"/>
      <w:lvlText w:val="○"/>
      <w:lvlJc w:val="left"/>
      <w:pPr>
        <w:ind w:left="1080" w:hanging="241"/>
      </w:pPr>
      <w:rPr>
        <w:rFonts w:ascii="細明體_HKSCS" w:hAnsi="Times New Roman" w:cs="細明體_HKSCS"/>
        <w:b w:val="0"/>
        <w:bCs w:val="0"/>
        <w:spacing w:val="-46"/>
        <w:w w:val="99"/>
        <w:sz w:val="22"/>
        <w:szCs w:val="22"/>
      </w:rPr>
    </w:lvl>
    <w:lvl w:ilvl="3">
      <w:numFmt w:val="bullet"/>
      <w:lvlText w:val="•"/>
      <w:lvlJc w:val="left"/>
      <w:pPr>
        <w:ind w:left="2015" w:hanging="241"/>
      </w:pPr>
    </w:lvl>
    <w:lvl w:ilvl="4">
      <w:numFmt w:val="bullet"/>
      <w:lvlText w:val="•"/>
      <w:lvlJc w:val="left"/>
      <w:pPr>
        <w:ind w:left="2948" w:hanging="241"/>
      </w:pPr>
    </w:lvl>
    <w:lvl w:ilvl="5">
      <w:numFmt w:val="bullet"/>
      <w:lvlText w:val="•"/>
      <w:lvlJc w:val="left"/>
      <w:pPr>
        <w:ind w:left="3880" w:hanging="241"/>
      </w:pPr>
    </w:lvl>
    <w:lvl w:ilvl="6">
      <w:numFmt w:val="bullet"/>
      <w:lvlText w:val="•"/>
      <w:lvlJc w:val="left"/>
      <w:pPr>
        <w:ind w:left="4813" w:hanging="241"/>
      </w:pPr>
    </w:lvl>
    <w:lvl w:ilvl="7">
      <w:numFmt w:val="bullet"/>
      <w:lvlText w:val="•"/>
      <w:lvlJc w:val="left"/>
      <w:pPr>
        <w:ind w:left="5745" w:hanging="241"/>
      </w:pPr>
    </w:lvl>
    <w:lvl w:ilvl="8">
      <w:numFmt w:val="bullet"/>
      <w:lvlText w:val="•"/>
      <w:lvlJc w:val="left"/>
      <w:pPr>
        <w:ind w:left="6678" w:hanging="241"/>
      </w:pPr>
    </w:lvl>
  </w:abstractNum>
  <w:num w:numId="1" w16cid:durableId="8574282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33B"/>
    <w:rsid w:val="0009533B"/>
    <w:rsid w:val="000C645D"/>
    <w:rsid w:val="000D0493"/>
    <w:rsid w:val="000F26DD"/>
    <w:rsid w:val="001B2BC0"/>
    <w:rsid w:val="002D01E1"/>
    <w:rsid w:val="002D2591"/>
    <w:rsid w:val="00334F61"/>
    <w:rsid w:val="00343A25"/>
    <w:rsid w:val="00360591"/>
    <w:rsid w:val="00406819"/>
    <w:rsid w:val="004C4990"/>
    <w:rsid w:val="006B016F"/>
    <w:rsid w:val="006C21FA"/>
    <w:rsid w:val="00754337"/>
    <w:rsid w:val="008D4D0C"/>
    <w:rsid w:val="00B03A93"/>
    <w:rsid w:val="00B52A55"/>
    <w:rsid w:val="00B54398"/>
    <w:rsid w:val="00C210B9"/>
    <w:rsid w:val="00C81AAF"/>
    <w:rsid w:val="00CC62D6"/>
    <w:rsid w:val="00DC4FF6"/>
    <w:rsid w:val="00DC7D45"/>
    <w:rsid w:val="00DD0903"/>
    <w:rsid w:val="00DF53FC"/>
    <w:rsid w:val="00E57F2F"/>
    <w:rsid w:val="00EA7B6F"/>
    <w:rsid w:val="00EE2B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7F6A"/>
  <w15:docId w15:val="{2FB983BD-E8DF-4ED3-8FBF-C25730A6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0591"/>
    <w:pPr>
      <w:widowControl w:val="0"/>
    </w:pPr>
    <w:rPr>
      <w:rFonts w:ascii="Consolas" w:eastAsia="新細明體" w:hAnsi="Arial" w:cs="Calibri Light"/>
      <w:kern w:val="0"/>
      <w:sz w:val="20"/>
      <w:szCs w:val="20"/>
    </w:rPr>
  </w:style>
  <w:style w:type="paragraph" w:styleId="2">
    <w:name w:val="heading 2"/>
    <w:basedOn w:val="a"/>
    <w:next w:val="a"/>
    <w:link w:val="20"/>
    <w:uiPriority w:val="9"/>
    <w:semiHidden/>
    <w:unhideWhenUsed/>
    <w:qFormat/>
    <w:rsid w:val="00360591"/>
    <w:pPr>
      <w:keepNext/>
      <w:spacing w:line="720" w:lineRule="auto"/>
      <w:outlineLvl w:val="1"/>
    </w:pPr>
    <w:rPr>
      <w:rFonts w:ascii="Calibri Light" w:hAnsi="Calibri Light"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2D6"/>
    <w:pPr>
      <w:tabs>
        <w:tab w:val="center" w:pos="4153"/>
        <w:tab w:val="right" w:pos="8306"/>
      </w:tabs>
      <w:snapToGrid w:val="0"/>
    </w:pPr>
  </w:style>
  <w:style w:type="character" w:customStyle="1" w:styleId="a4">
    <w:name w:val="頁首 字元"/>
    <w:basedOn w:val="a0"/>
    <w:link w:val="a3"/>
    <w:uiPriority w:val="99"/>
    <w:rsid w:val="00CC62D6"/>
    <w:rPr>
      <w:sz w:val="20"/>
      <w:szCs w:val="20"/>
    </w:rPr>
  </w:style>
  <w:style w:type="paragraph" w:styleId="a5">
    <w:name w:val="footer"/>
    <w:basedOn w:val="a"/>
    <w:link w:val="a6"/>
    <w:uiPriority w:val="99"/>
    <w:unhideWhenUsed/>
    <w:rsid w:val="00CC62D6"/>
    <w:pPr>
      <w:tabs>
        <w:tab w:val="center" w:pos="4153"/>
        <w:tab w:val="right" w:pos="8306"/>
      </w:tabs>
      <w:snapToGrid w:val="0"/>
    </w:pPr>
  </w:style>
  <w:style w:type="character" w:customStyle="1" w:styleId="a6">
    <w:name w:val="頁尾 字元"/>
    <w:basedOn w:val="a0"/>
    <w:link w:val="a5"/>
    <w:uiPriority w:val="99"/>
    <w:rsid w:val="00CC62D6"/>
    <w:rPr>
      <w:sz w:val="20"/>
      <w:szCs w:val="20"/>
    </w:rPr>
  </w:style>
  <w:style w:type="paragraph" w:styleId="5">
    <w:name w:val="toc 5"/>
    <w:basedOn w:val="a"/>
    <w:next w:val="a"/>
    <w:autoRedefine/>
    <w:uiPriority w:val="39"/>
    <w:unhideWhenUsed/>
    <w:rsid w:val="00CC62D6"/>
    <w:pPr>
      <w:numPr>
        <w:numId w:val="1"/>
      </w:numPr>
      <w:tabs>
        <w:tab w:val="left" w:pos="459"/>
      </w:tabs>
      <w:kinsoku w:val="0"/>
      <w:overflowPunct w:val="0"/>
      <w:spacing w:before="98" w:line="440" w:lineRule="exact"/>
      <w:ind w:leftChars="-29" w:left="284" w:hanging="342"/>
      <w:outlineLvl w:val="2"/>
    </w:pPr>
    <w:rPr>
      <w:rFonts w:ascii="Calibri" w:hAnsi="Calibri" w:cs="Times New Roman"/>
    </w:rPr>
  </w:style>
  <w:style w:type="character" w:customStyle="1" w:styleId="20">
    <w:name w:val="標題 2 字元"/>
    <w:basedOn w:val="a0"/>
    <w:link w:val="2"/>
    <w:uiPriority w:val="9"/>
    <w:semiHidden/>
    <w:rsid w:val="00360591"/>
    <w:rPr>
      <w:rFonts w:ascii="Calibri Light" w:eastAsia="新細明體" w:hAnsi="Calibri Light" w:cs="Times New Roman"/>
      <w:b/>
      <w:bCs/>
      <w:kern w:val="0"/>
      <w:sz w:val="48"/>
      <w:szCs w:val="48"/>
    </w:rPr>
  </w:style>
  <w:style w:type="paragraph" w:styleId="21">
    <w:name w:val="toc 2"/>
    <w:basedOn w:val="a"/>
    <w:next w:val="a"/>
    <w:autoRedefine/>
    <w:uiPriority w:val="39"/>
    <w:unhideWhenUsed/>
    <w:rsid w:val="00360591"/>
    <w:pPr>
      <w:ind w:leftChars="200" w:left="480"/>
    </w:pPr>
  </w:style>
  <w:style w:type="paragraph" w:styleId="3">
    <w:name w:val="toc 3"/>
    <w:basedOn w:val="a"/>
    <w:next w:val="a"/>
    <w:autoRedefine/>
    <w:uiPriority w:val="39"/>
    <w:unhideWhenUsed/>
    <w:rsid w:val="00360591"/>
    <w:pPr>
      <w:ind w:leftChars="400" w:left="960"/>
    </w:pPr>
  </w:style>
  <w:style w:type="paragraph" w:styleId="1">
    <w:name w:val="toc 1"/>
    <w:basedOn w:val="a"/>
    <w:next w:val="a"/>
    <w:autoRedefine/>
    <w:uiPriority w:val="39"/>
    <w:unhideWhenUsed/>
    <w:rsid w:val="00360591"/>
  </w:style>
  <w:style w:type="paragraph" w:styleId="4">
    <w:name w:val="toc 4"/>
    <w:basedOn w:val="a"/>
    <w:next w:val="a"/>
    <w:autoRedefine/>
    <w:uiPriority w:val="39"/>
    <w:unhideWhenUsed/>
    <w:rsid w:val="00360591"/>
    <w:pPr>
      <w:ind w:leftChars="600" w:left="1440"/>
    </w:pPr>
    <w:rPr>
      <w:rFonts w:ascii="Calibri" w:hAnsi="Calibri" w:cs="Times New Roman"/>
      <w:kern w:val="2"/>
      <w:sz w:val="24"/>
      <w:szCs w:val="22"/>
    </w:rPr>
  </w:style>
  <w:style w:type="paragraph" w:styleId="6">
    <w:name w:val="toc 6"/>
    <w:basedOn w:val="a"/>
    <w:next w:val="a"/>
    <w:autoRedefine/>
    <w:uiPriority w:val="39"/>
    <w:unhideWhenUsed/>
    <w:rsid w:val="00360591"/>
    <w:pPr>
      <w:ind w:leftChars="1000" w:left="2400"/>
    </w:pPr>
    <w:rPr>
      <w:rFonts w:ascii="Calibri" w:hAnsi="Calibri" w:cs="Times New Roman"/>
      <w:kern w:val="2"/>
      <w:sz w:val="24"/>
      <w:szCs w:val="22"/>
    </w:rPr>
  </w:style>
  <w:style w:type="paragraph" w:styleId="7">
    <w:name w:val="toc 7"/>
    <w:basedOn w:val="a"/>
    <w:next w:val="a"/>
    <w:autoRedefine/>
    <w:uiPriority w:val="39"/>
    <w:unhideWhenUsed/>
    <w:rsid w:val="00360591"/>
    <w:pPr>
      <w:ind w:leftChars="1200" w:left="2880"/>
    </w:pPr>
    <w:rPr>
      <w:rFonts w:ascii="Calibri" w:hAnsi="Calibri" w:cs="Times New Roman"/>
      <w:kern w:val="2"/>
      <w:sz w:val="24"/>
      <w:szCs w:val="22"/>
    </w:rPr>
  </w:style>
  <w:style w:type="paragraph" w:styleId="8">
    <w:name w:val="toc 8"/>
    <w:basedOn w:val="a"/>
    <w:next w:val="a"/>
    <w:autoRedefine/>
    <w:uiPriority w:val="39"/>
    <w:unhideWhenUsed/>
    <w:rsid w:val="00360591"/>
    <w:pPr>
      <w:ind w:leftChars="1400" w:left="3360"/>
    </w:pPr>
    <w:rPr>
      <w:rFonts w:ascii="Calibri" w:hAnsi="Calibri" w:cs="Times New Roman"/>
      <w:kern w:val="2"/>
      <w:sz w:val="24"/>
      <w:szCs w:val="22"/>
    </w:rPr>
  </w:style>
  <w:style w:type="paragraph" w:styleId="9">
    <w:name w:val="toc 9"/>
    <w:basedOn w:val="a"/>
    <w:next w:val="a"/>
    <w:autoRedefine/>
    <w:uiPriority w:val="39"/>
    <w:unhideWhenUsed/>
    <w:rsid w:val="00360591"/>
    <w:pPr>
      <w:ind w:leftChars="1600" w:left="3840"/>
    </w:pPr>
    <w:rPr>
      <w:rFonts w:ascii="Calibri" w:hAnsi="Calibri" w:cs="Times New Roman"/>
      <w:kern w:val="2"/>
      <w:sz w:val="24"/>
      <w:szCs w:val="22"/>
    </w:rPr>
  </w:style>
  <w:style w:type="character" w:styleId="a7">
    <w:name w:val="Hyperlink"/>
    <w:uiPriority w:val="99"/>
    <w:unhideWhenUsed/>
    <w:rsid w:val="00360591"/>
    <w:rPr>
      <w:color w:val="0563C1"/>
      <w:u w:val="single"/>
    </w:rPr>
  </w:style>
  <w:style w:type="character" w:customStyle="1" w:styleId="10">
    <w:name w:val="未解析的提及1"/>
    <w:uiPriority w:val="99"/>
    <w:semiHidden/>
    <w:unhideWhenUsed/>
    <w:rsid w:val="0036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USER-260129</cp:lastModifiedBy>
  <cp:revision>6</cp:revision>
  <dcterms:created xsi:type="dcterms:W3CDTF">2026-02-04T03:52:00Z</dcterms:created>
  <dcterms:modified xsi:type="dcterms:W3CDTF">2026-02-04T04:02:00Z</dcterms:modified>
</cp:coreProperties>
</file>