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5338" w14:textId="77777777" w:rsidR="00261B16" w:rsidRPr="00261B16" w:rsidRDefault="00261B16" w:rsidP="00261B16">
      <w:pPr>
        <w:kinsoku w:val="0"/>
        <w:overflowPunct w:val="0"/>
        <w:spacing w:before="119"/>
        <w:ind w:left="400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261B16">
        <w:rPr>
          <w:rFonts w:ascii="標楷體" w:eastAsia="標楷體" w:hAnsi="標楷體" w:cs="微軟正黑體" w:hint="eastAsia"/>
          <w:b/>
          <w:bCs/>
          <w:sz w:val="28"/>
          <w:szCs w:val="28"/>
        </w:rPr>
        <w:t>【行政函釋】</w:t>
      </w:r>
    </w:p>
    <w:p w14:paraId="2C84310C" w14:textId="77777777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pacing w:val="-2"/>
          <w:sz w:val="28"/>
          <w:szCs w:val="28"/>
        </w:rPr>
      </w:pPr>
      <w:bookmarkStart w:id="0" w:name="_Hlk55188977"/>
      <w:r w:rsidRPr="00261B1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1351010</w:t>
      </w:r>
      <w:r w:rsidRPr="00261B1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-</w:t>
      </w:r>
      <w:r w:rsidRPr="00261B1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信01</w:t>
      </w:r>
      <w:bookmarkEnd w:id="0"/>
      <w:r w:rsidRPr="00261B1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-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-2"/>
          <w:sz w:val="28"/>
          <w:szCs w:val="28"/>
        </w:rPr>
        <w:t>公寓大廈之公共基金係依據公寓大廈管理條例</w:t>
      </w:r>
    </w:p>
    <w:p w14:paraId="32539321" w14:textId="77777777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</w:pPr>
      <w:r w:rsidRPr="00261B16">
        <w:rPr>
          <w:rFonts w:ascii="標楷體" w:eastAsia="標楷體" w:hAnsi="標楷體" w:hint="eastAsia"/>
          <w:b/>
          <w:bCs/>
          <w:color w:val="000000" w:themeColor="text1"/>
          <w:spacing w:val="-2"/>
          <w:sz w:val="28"/>
          <w:szCs w:val="28"/>
        </w:rPr>
        <w:t>第</w:t>
      </w:r>
      <w:r w:rsidRPr="00261B16">
        <w:rPr>
          <w:rFonts w:ascii="標楷體" w:eastAsia="標楷體" w:hAnsi="標楷體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18</w:t>
      </w:r>
      <w:r w:rsidRPr="00261B16">
        <w:rPr>
          <w:rFonts w:ascii="標楷體" w:eastAsia="標楷體" w:hAnsi="標楷體"/>
          <w:b/>
          <w:bCs/>
          <w:color w:val="000000" w:themeColor="text1"/>
          <w:spacing w:val="-24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-24"/>
          <w:sz w:val="28"/>
          <w:szCs w:val="28"/>
        </w:rPr>
        <w:t>條第</w:t>
      </w:r>
      <w:r w:rsidRPr="00261B16">
        <w:rPr>
          <w:rFonts w:ascii="標楷體" w:eastAsia="標楷體" w:hAnsi="標楷體"/>
          <w:b/>
          <w:bCs/>
          <w:color w:val="000000" w:themeColor="text1"/>
          <w:spacing w:val="-24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3</w:t>
      </w:r>
      <w:r w:rsidRPr="00261B16">
        <w:rPr>
          <w:rFonts w:ascii="標楷體" w:eastAsia="標楷體" w:hAnsi="標楷體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-10"/>
          <w:sz w:val="28"/>
          <w:szCs w:val="28"/>
        </w:rPr>
        <w:t>項規定設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3"/>
          <w:sz w:val="28"/>
          <w:szCs w:val="28"/>
        </w:rPr>
        <w:t>置，其運用固應依區分所有權人會議之</w:t>
      </w:r>
    </w:p>
    <w:p w14:paraId="77ABAF0A" w14:textId="77777777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</w:pPr>
      <w:r w:rsidRPr="00261B16">
        <w:rPr>
          <w:rFonts w:ascii="標楷體" w:eastAsia="標楷體" w:hAnsi="標楷體" w:hint="eastAsia"/>
          <w:b/>
          <w:bCs/>
          <w:color w:val="000000" w:themeColor="text1"/>
          <w:spacing w:val="3"/>
          <w:sz w:val="28"/>
          <w:szCs w:val="28"/>
        </w:rPr>
        <w:t>決議為之，然區分所有權人會議之決議不得違反公寓大廈管</w:t>
      </w:r>
    </w:p>
    <w:p w14:paraId="5CC91362" w14:textId="56798B7A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</w:pPr>
      <w:r w:rsidRPr="00261B16">
        <w:rPr>
          <w:rFonts w:ascii="標楷體" w:eastAsia="標楷體" w:hAnsi="標楷體" w:hint="eastAsia"/>
          <w:b/>
          <w:bCs/>
          <w:color w:val="000000" w:themeColor="text1"/>
          <w:spacing w:val="3"/>
          <w:sz w:val="28"/>
          <w:szCs w:val="28"/>
        </w:rPr>
        <w:t>管理條例之規定，故公共基金之管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4"/>
          <w:sz w:val="28"/>
          <w:szCs w:val="28"/>
        </w:rPr>
        <w:t>理運用應依據同條例第</w:t>
      </w:r>
      <w:r w:rsidRPr="00261B16"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  <w:t>10</w:t>
      </w:r>
    </w:p>
    <w:p w14:paraId="056C8471" w14:textId="6E020AF5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</w:pPr>
      <w:r w:rsidRPr="00261B16">
        <w:rPr>
          <w:rFonts w:ascii="標楷體" w:eastAsia="標楷體" w:hAnsi="標楷體" w:hint="eastAsia"/>
          <w:b/>
          <w:bCs/>
          <w:color w:val="000000" w:themeColor="text1"/>
          <w:spacing w:val="7"/>
          <w:sz w:val="28"/>
          <w:szCs w:val="28"/>
        </w:rPr>
        <w:t>、</w:t>
      </w:r>
      <w:r w:rsidRPr="00261B1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11</w:t>
      </w:r>
      <w:r w:rsidRPr="00261B16"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3"/>
          <w:sz w:val="28"/>
          <w:szCs w:val="28"/>
        </w:rPr>
        <w:t>條等規定為之，尚不得作為信託用途。</w:t>
      </w:r>
      <w:r w:rsidRPr="00261B16">
        <w:rPr>
          <w:rFonts w:ascii="標楷體" w:eastAsia="標楷體" w:hAnsi="標楷體"/>
          <w:b/>
          <w:bCs/>
          <w:color w:val="000000" w:themeColor="text1"/>
          <w:spacing w:val="3"/>
          <w:sz w:val="28"/>
          <w:szCs w:val="28"/>
        </w:rPr>
        <w:t>100-10-03-</w:t>
      </w:r>
      <w:r w:rsidRPr="00261B16">
        <w:rPr>
          <w:rFonts w:ascii="標楷體" w:eastAsia="標楷體" w:hAnsi="標楷體" w:hint="eastAsia"/>
          <w:b/>
          <w:bCs/>
          <w:color w:val="000000" w:themeColor="text1"/>
          <w:spacing w:val="3"/>
          <w:sz w:val="28"/>
          <w:szCs w:val="28"/>
        </w:rPr>
        <w:t>10</w:t>
      </w:r>
    </w:p>
    <w:p w14:paraId="6839466E" w14:textId="7595EB20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w w:val="99"/>
          <w:sz w:val="28"/>
          <w:szCs w:val="28"/>
        </w:rPr>
      </w:pPr>
      <w:r w:rsidRPr="00261B16">
        <w:rPr>
          <w:rFonts w:ascii="標楷體" w:eastAsia="標楷體" w:hAnsi="標楷體"/>
          <w:b/>
          <w:bCs/>
          <w:color w:val="000000" w:themeColor="text1"/>
          <w:w w:val="83"/>
          <w:sz w:val="28"/>
          <w:szCs w:val="28"/>
        </w:rPr>
        <w:t>00808387</w:t>
      </w:r>
      <w:r w:rsidRPr="00261B16">
        <w:rPr>
          <w:rFonts w:ascii="標楷體" w:eastAsia="標楷體" w:hAnsi="標楷體" w:hint="eastAsia"/>
          <w:b/>
          <w:bCs/>
          <w:color w:val="000000" w:themeColor="text1"/>
          <w:w w:val="99"/>
          <w:sz w:val="28"/>
          <w:szCs w:val="28"/>
        </w:rPr>
        <w:t>號</w:t>
      </w:r>
    </w:p>
    <w:p w14:paraId="616E2F62" w14:textId="77777777" w:rsidR="00261B16" w:rsidRDefault="00261B16" w:rsidP="00261B16">
      <w:pPr>
        <w:kinsoku w:val="0"/>
        <w:overflowPunct w:val="0"/>
        <w:spacing w:line="440" w:lineRule="exact"/>
        <w:outlineLvl w:val="2"/>
        <w:rPr>
          <w:rFonts w:ascii="標楷體" w:eastAsia="標楷體" w:hAnsi="標楷體"/>
          <w:w w:val="83"/>
          <w:sz w:val="28"/>
          <w:szCs w:val="28"/>
        </w:rPr>
      </w:pPr>
      <w:bookmarkStart w:id="1" w:name="_Toc128286562"/>
    </w:p>
    <w:p w14:paraId="422FF0FF" w14:textId="6DD42EC0" w:rsidR="00261B16" w:rsidRPr="00261B16" w:rsidRDefault="00261B16" w:rsidP="00261B16">
      <w:pPr>
        <w:kinsoku w:val="0"/>
        <w:overflowPunct w:val="0"/>
        <w:spacing w:line="440" w:lineRule="exact"/>
        <w:outlineLvl w:val="2"/>
        <w:rPr>
          <w:rFonts w:ascii="標楷體" w:eastAsia="標楷體" w:hAnsi="標楷體"/>
          <w:w w:val="99"/>
          <w:sz w:val="28"/>
          <w:szCs w:val="28"/>
        </w:rPr>
      </w:pPr>
      <w:r w:rsidRPr="00261B16">
        <w:rPr>
          <w:rFonts w:ascii="標楷體" w:eastAsia="標楷體" w:hAnsi="標楷體"/>
          <w:w w:val="83"/>
          <w:sz w:val="28"/>
          <w:szCs w:val="28"/>
        </w:rPr>
        <w:t>10</w:t>
      </w:r>
      <w:r w:rsidRPr="00261B16">
        <w:rPr>
          <w:rFonts w:ascii="標楷體" w:eastAsia="標楷體" w:hAnsi="標楷體"/>
          <w:w w:val="196"/>
          <w:sz w:val="28"/>
          <w:szCs w:val="28"/>
        </w:rPr>
        <w:t>.</w:t>
      </w:r>
      <w:r w:rsidRPr="00261B16">
        <w:rPr>
          <w:rFonts w:ascii="標楷體" w:eastAsia="標楷體" w:hAnsi="標楷體" w:hint="eastAsia"/>
          <w:w w:val="99"/>
          <w:sz w:val="28"/>
          <w:szCs w:val="28"/>
        </w:rPr>
        <w:t>【內政部</w:t>
      </w:r>
      <w:r w:rsidRPr="00261B16">
        <w:rPr>
          <w:rFonts w:ascii="標楷體" w:eastAsia="標楷體" w:hAnsi="標楷體"/>
          <w:spacing w:val="2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w w:val="83"/>
          <w:sz w:val="28"/>
          <w:szCs w:val="28"/>
        </w:rPr>
        <w:t>100</w:t>
      </w:r>
      <w:r w:rsidRPr="00261B16">
        <w:rPr>
          <w:rFonts w:ascii="標楷體" w:eastAsia="標楷體" w:hAnsi="標楷體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w w:val="99"/>
          <w:sz w:val="28"/>
          <w:szCs w:val="28"/>
        </w:rPr>
        <w:t>年</w:t>
      </w:r>
      <w:r w:rsidRPr="00261B16">
        <w:rPr>
          <w:rFonts w:ascii="標楷體" w:eastAsia="標楷體" w:hAnsi="標楷體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w w:val="83"/>
          <w:sz w:val="28"/>
          <w:szCs w:val="28"/>
        </w:rPr>
        <w:t>10</w:t>
      </w:r>
      <w:r w:rsidRPr="00261B16">
        <w:rPr>
          <w:rFonts w:ascii="標楷體" w:eastAsia="標楷體" w:hAnsi="標楷體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w w:val="99"/>
          <w:sz w:val="28"/>
          <w:szCs w:val="28"/>
        </w:rPr>
        <w:t>月</w:t>
      </w:r>
      <w:r w:rsidRPr="00261B16">
        <w:rPr>
          <w:rFonts w:ascii="標楷體" w:eastAsia="標楷體" w:hAnsi="標楷體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w w:val="83"/>
          <w:sz w:val="28"/>
          <w:szCs w:val="28"/>
        </w:rPr>
        <w:t>3</w:t>
      </w:r>
      <w:r w:rsidRPr="00261B16">
        <w:rPr>
          <w:rFonts w:ascii="標楷體" w:eastAsia="標楷體" w:hAnsi="標楷體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w w:val="99"/>
          <w:sz w:val="28"/>
          <w:szCs w:val="28"/>
        </w:rPr>
        <w:t>日台內營字第</w:t>
      </w:r>
      <w:r w:rsidRPr="00261B16">
        <w:rPr>
          <w:rFonts w:ascii="標楷體" w:eastAsia="標楷體" w:hAnsi="標楷體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w w:val="83"/>
          <w:sz w:val="28"/>
          <w:szCs w:val="28"/>
        </w:rPr>
        <w:t>1000808387</w:t>
      </w:r>
      <w:r w:rsidRPr="00261B16">
        <w:rPr>
          <w:rFonts w:ascii="標楷體" w:eastAsia="標楷體" w:hAnsi="標楷體"/>
          <w:spacing w:val="2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w w:val="99"/>
          <w:sz w:val="28"/>
          <w:szCs w:val="28"/>
        </w:rPr>
        <w:t>號】</w:t>
      </w:r>
      <w:bookmarkEnd w:id="1"/>
    </w:p>
    <w:p w14:paraId="2327BD3C" w14:textId="77777777" w:rsid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pacing w:val="-24"/>
          <w:sz w:val="28"/>
          <w:szCs w:val="28"/>
        </w:rPr>
      </w:pPr>
      <w:r w:rsidRPr="00261B16">
        <w:rPr>
          <w:rFonts w:ascii="標楷體" w:eastAsia="標楷體" w:hAnsi="標楷體" w:hint="eastAsia"/>
          <w:spacing w:val="-2"/>
          <w:sz w:val="28"/>
          <w:szCs w:val="28"/>
        </w:rPr>
        <w:t>要旨：公寓大廈之公共基金係依據公寓大廈管理條例第</w:t>
      </w:r>
      <w:r w:rsidRPr="00261B16">
        <w:rPr>
          <w:rFonts w:ascii="標楷體" w:eastAsia="標楷體" w:hAnsi="標楷體"/>
          <w:spacing w:val="-2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18</w:t>
      </w:r>
      <w:r w:rsidRPr="00261B16">
        <w:rPr>
          <w:rFonts w:ascii="標楷體" w:eastAsia="標楷體" w:hAnsi="標楷體"/>
          <w:spacing w:val="-24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24"/>
          <w:sz w:val="28"/>
          <w:szCs w:val="28"/>
        </w:rPr>
        <w:t>條第</w:t>
      </w:r>
      <w:r w:rsidRPr="00261B16">
        <w:rPr>
          <w:rFonts w:ascii="標楷體" w:eastAsia="標楷體" w:hAnsi="標楷體"/>
          <w:spacing w:val="-24"/>
          <w:sz w:val="28"/>
          <w:szCs w:val="28"/>
        </w:rPr>
        <w:t xml:space="preserve"> </w:t>
      </w:r>
    </w:p>
    <w:p w14:paraId="64230CCB" w14:textId="77777777" w:rsid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-24"/>
          <w:sz w:val="28"/>
          <w:szCs w:val="28"/>
        </w:rPr>
        <w:t xml:space="preserve">          </w:t>
      </w:r>
      <w:r w:rsidRPr="00261B16">
        <w:rPr>
          <w:rFonts w:ascii="標楷體" w:eastAsia="標楷體" w:hAnsi="標楷體"/>
          <w:sz w:val="28"/>
          <w:szCs w:val="28"/>
        </w:rPr>
        <w:t>3</w:t>
      </w:r>
      <w:r w:rsidRPr="00261B16">
        <w:rPr>
          <w:rFonts w:ascii="標楷體" w:eastAsia="標楷體" w:hAnsi="標楷體"/>
          <w:spacing w:val="-10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10"/>
          <w:sz w:val="28"/>
          <w:szCs w:val="28"/>
        </w:rPr>
        <w:t>項規定設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置，其運用固應依區分所有權人會議之決議</w:t>
      </w:r>
    </w:p>
    <w:p w14:paraId="59120842" w14:textId="77777777" w:rsid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 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為之，然區分所有權人會議之決議不得違反公寓大廈</w:t>
      </w:r>
    </w:p>
    <w:p w14:paraId="1231887D" w14:textId="77777777" w:rsid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pacing w:val="4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 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管管理條例之規定，故公共基金之管</w:t>
      </w:r>
      <w:r w:rsidRPr="00261B16">
        <w:rPr>
          <w:rFonts w:ascii="標楷體" w:eastAsia="標楷體" w:hAnsi="標楷體" w:hint="eastAsia"/>
          <w:spacing w:val="4"/>
          <w:sz w:val="28"/>
          <w:szCs w:val="28"/>
        </w:rPr>
        <w:t>理運用應依據同</w:t>
      </w:r>
    </w:p>
    <w:p w14:paraId="443D512F" w14:textId="0D90D242" w:rsidR="00261B16" w:rsidRPr="00261B16" w:rsidRDefault="00261B16" w:rsidP="00261B16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4"/>
          <w:sz w:val="28"/>
          <w:szCs w:val="28"/>
        </w:rPr>
        <w:t xml:space="preserve">      </w:t>
      </w:r>
      <w:r w:rsidRPr="00261B16">
        <w:rPr>
          <w:rFonts w:ascii="標楷體" w:eastAsia="標楷體" w:hAnsi="標楷體" w:hint="eastAsia"/>
          <w:spacing w:val="4"/>
          <w:sz w:val="28"/>
          <w:szCs w:val="28"/>
        </w:rPr>
        <w:t>條例第</w:t>
      </w:r>
      <w:r w:rsidRPr="00261B16">
        <w:rPr>
          <w:rFonts w:ascii="標楷體" w:eastAsia="標楷體" w:hAnsi="標楷體"/>
          <w:spacing w:val="4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pacing w:val="3"/>
          <w:sz w:val="28"/>
          <w:szCs w:val="28"/>
        </w:rPr>
        <w:t>10</w:t>
      </w:r>
      <w:r w:rsidRPr="00261B16">
        <w:rPr>
          <w:rFonts w:ascii="標楷體" w:eastAsia="標楷體" w:hAnsi="標楷體" w:hint="eastAsia"/>
          <w:spacing w:val="7"/>
          <w:sz w:val="28"/>
          <w:szCs w:val="28"/>
        </w:rPr>
        <w:t>、</w:t>
      </w:r>
      <w:r w:rsidRPr="00261B16">
        <w:rPr>
          <w:rFonts w:ascii="標楷體" w:eastAsia="標楷體" w:hAnsi="標楷體"/>
          <w:sz w:val="28"/>
          <w:szCs w:val="28"/>
        </w:rPr>
        <w:t>11</w:t>
      </w:r>
      <w:r w:rsidRPr="00261B16">
        <w:rPr>
          <w:rFonts w:ascii="標楷體" w:eastAsia="標楷體" w:hAnsi="標楷體"/>
          <w:spacing w:val="3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條等規定為之，尚不得作為信託用途。</w:t>
      </w:r>
    </w:p>
    <w:p w14:paraId="0EF7343C" w14:textId="77777777" w:rsid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 w:rsidRPr="00261B16">
        <w:rPr>
          <w:rFonts w:ascii="標楷體" w:eastAsia="標楷體" w:hAnsi="標楷體" w:hint="eastAsia"/>
          <w:spacing w:val="-6"/>
          <w:sz w:val="28"/>
          <w:szCs w:val="28"/>
        </w:rPr>
        <w:t>說明：一、按信託法第</w:t>
      </w:r>
      <w:r w:rsidRPr="00261B16">
        <w:rPr>
          <w:rFonts w:ascii="標楷體" w:eastAsia="標楷體" w:hAnsi="標楷體"/>
          <w:spacing w:val="-6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1</w:t>
      </w:r>
      <w:r w:rsidRPr="00261B16">
        <w:rPr>
          <w:rFonts w:ascii="標楷體" w:eastAsia="標楷體" w:hAnsi="標楷體"/>
          <w:spacing w:val="-12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12"/>
          <w:sz w:val="28"/>
          <w:szCs w:val="28"/>
        </w:rPr>
        <w:t>條規定：「稱信託者，謂委託人將財產權移轉或為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其他處分，使受託人依信託本旨，為受益人之利益或為特定之</w:t>
      </w:r>
      <w:r w:rsidRPr="00261B16">
        <w:rPr>
          <w:rFonts w:ascii="標楷體" w:eastAsia="標楷體" w:hAnsi="標楷體" w:hint="eastAsia"/>
          <w:spacing w:val="-4"/>
          <w:sz w:val="28"/>
          <w:szCs w:val="28"/>
        </w:rPr>
        <w:t>目的，管理或處分信託財產之關係。」係指財產所有人</w:t>
      </w:r>
      <w:r w:rsidRPr="00261B16">
        <w:rPr>
          <w:rFonts w:ascii="標楷體" w:eastAsia="標楷體" w:hAnsi="標楷體" w:hint="eastAsia"/>
          <w:sz w:val="28"/>
          <w:szCs w:val="28"/>
        </w:rPr>
        <w:t>（委託人</w:t>
      </w:r>
      <w:r w:rsidRPr="00261B16">
        <w:rPr>
          <w:rFonts w:ascii="標楷體" w:eastAsia="標楷體" w:hAnsi="標楷體" w:hint="eastAsia"/>
          <w:spacing w:val="-13"/>
          <w:sz w:val="28"/>
          <w:szCs w:val="28"/>
        </w:rPr>
        <w:t>）</w:t>
      </w:r>
      <w:r w:rsidRPr="00261B16">
        <w:rPr>
          <w:rFonts w:ascii="標楷體" w:eastAsia="標楷體" w:hAnsi="標楷體"/>
          <w:spacing w:val="-13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3"/>
          <w:sz w:val="28"/>
          <w:szCs w:val="28"/>
        </w:rPr>
        <w:t>為自己或自己指定之人</w:t>
      </w:r>
      <w:r w:rsidRPr="00261B16">
        <w:rPr>
          <w:rFonts w:ascii="標楷體" w:eastAsia="標楷體" w:hAnsi="標楷體" w:hint="eastAsia"/>
          <w:sz w:val="28"/>
          <w:szCs w:val="28"/>
        </w:rPr>
        <w:t>（受益人</w:t>
      </w:r>
      <w:r w:rsidRPr="00261B16">
        <w:rPr>
          <w:rFonts w:ascii="標楷體" w:eastAsia="標楷體" w:hAnsi="標楷體" w:hint="eastAsia"/>
          <w:spacing w:val="-24"/>
          <w:sz w:val="28"/>
          <w:szCs w:val="28"/>
        </w:rPr>
        <w:t>）</w:t>
      </w:r>
      <w:r w:rsidRPr="00261B16">
        <w:rPr>
          <w:rFonts w:ascii="標楷體" w:eastAsia="標楷體" w:hAnsi="標楷體" w:hint="eastAsia"/>
          <w:sz w:val="28"/>
          <w:szCs w:val="28"/>
        </w:rPr>
        <w:t>之利益或特定目的，將財產權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移轉或為</w:t>
      </w:r>
    </w:p>
    <w:p w14:paraId="0533DE13" w14:textId="77777777" w:rsid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lastRenderedPageBreak/>
        <w:t xml:space="preserve">    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其他處分，使受託人依信託本旨為管理或處分之。是以</w:t>
      </w:r>
    </w:p>
    <w:p w14:paraId="2613120B" w14:textId="77777777" w:rsid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 xml:space="preserve">    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信託必有財產權之移轉，使受託人以財產權利人之名義</w:t>
      </w:r>
    </w:p>
    <w:p w14:paraId="7300A576" w14:textId="77777777" w:rsid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 xml:space="preserve">    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管理信託財產，並於信託關係存續中，就該信託財產對</w:t>
      </w:r>
    </w:p>
    <w:p w14:paraId="5A9FDE41" w14:textId="77777777" w:rsid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 xml:space="preserve">    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外為唯一有權管理及處分權人；而受託人管理或處分信</w:t>
      </w:r>
    </w:p>
    <w:p w14:paraId="220DF26F" w14:textId="77777777" w:rsid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 xml:space="preserve">    </w:t>
      </w:r>
      <w:proofErr w:type="gramStart"/>
      <w:r w:rsidRPr="00261B16">
        <w:rPr>
          <w:rFonts w:ascii="標楷體" w:eastAsia="標楷體" w:hAnsi="標楷體" w:hint="eastAsia"/>
          <w:spacing w:val="6"/>
          <w:sz w:val="28"/>
          <w:szCs w:val="28"/>
        </w:rPr>
        <w:t>託</w:t>
      </w:r>
      <w:proofErr w:type="gramEnd"/>
      <w:r w:rsidRPr="00261B16">
        <w:rPr>
          <w:rFonts w:ascii="標楷體" w:eastAsia="標楷體" w:hAnsi="標楷體" w:hint="eastAsia"/>
          <w:spacing w:val="6"/>
          <w:sz w:val="28"/>
          <w:szCs w:val="28"/>
        </w:rPr>
        <w:t>財產之效果，於信託關係終止前，仍歸屬於受託人，</w:t>
      </w:r>
    </w:p>
    <w:p w14:paraId="7F605D26" w14:textId="56068A62" w:rsidR="00261B16" w:rsidRPr="00261B16" w:rsidRDefault="00261B16" w:rsidP="00261B16">
      <w:pPr>
        <w:kinsoku w:val="0"/>
        <w:overflowPunct w:val="0"/>
        <w:spacing w:before="4" w:line="256" w:lineRule="auto"/>
        <w:ind w:left="1586" w:right="109" w:hanging="1186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 xml:space="preserve">    </w:t>
      </w:r>
      <w:r w:rsidRPr="00261B16">
        <w:rPr>
          <w:rFonts w:ascii="標楷體" w:eastAsia="標楷體" w:hAnsi="標楷體" w:hint="eastAsia"/>
          <w:spacing w:val="6"/>
          <w:sz w:val="28"/>
          <w:szCs w:val="28"/>
        </w:rPr>
        <w:t>為法務部</w:t>
      </w:r>
      <w:proofErr w:type="gramStart"/>
      <w:r w:rsidRPr="00261B16">
        <w:rPr>
          <w:rFonts w:ascii="標楷體" w:eastAsia="標楷體" w:hAnsi="標楷體" w:hint="eastAsia"/>
          <w:spacing w:val="6"/>
          <w:sz w:val="28"/>
          <w:szCs w:val="28"/>
        </w:rPr>
        <w:t>上開號書函</w:t>
      </w:r>
      <w:proofErr w:type="gramEnd"/>
      <w:r w:rsidRPr="00261B16">
        <w:rPr>
          <w:rFonts w:ascii="標楷體" w:eastAsia="標楷體" w:hAnsi="標楷體" w:hint="eastAsia"/>
          <w:spacing w:val="6"/>
          <w:sz w:val="28"/>
          <w:szCs w:val="28"/>
        </w:rPr>
        <w:t>所</w:t>
      </w:r>
      <w:proofErr w:type="gramStart"/>
      <w:r w:rsidRPr="00261B16">
        <w:rPr>
          <w:rFonts w:ascii="標楷體" w:eastAsia="標楷體" w:hAnsi="標楷體" w:hint="eastAsia"/>
          <w:spacing w:val="6"/>
          <w:sz w:val="28"/>
          <w:szCs w:val="28"/>
        </w:rPr>
        <w:t>明釋。</w:t>
      </w:r>
      <w:proofErr w:type="gramEnd"/>
    </w:p>
    <w:p w14:paraId="1F3A926F" w14:textId="229367D5" w:rsidR="00261B16" w:rsidRPr="00261B16" w:rsidRDefault="00261B16" w:rsidP="00261B16">
      <w:pPr>
        <w:kinsoku w:val="0"/>
        <w:overflowPunct w:val="0"/>
        <w:spacing w:before="8" w:line="256" w:lineRule="auto"/>
        <w:ind w:left="883" w:right="152" w:hanging="483"/>
        <w:rPr>
          <w:rFonts w:ascii="標楷體" w:eastAsia="標楷體" w:hAnsi="標楷體"/>
          <w:spacing w:val="-6"/>
          <w:sz w:val="28"/>
          <w:szCs w:val="28"/>
        </w:rPr>
      </w:pPr>
      <w:r w:rsidRPr="00261B16">
        <w:rPr>
          <w:rFonts w:ascii="標楷體" w:eastAsia="標楷體" w:hAnsi="標楷體" w:hint="eastAsia"/>
          <w:sz w:val="28"/>
          <w:szCs w:val="28"/>
        </w:rPr>
        <w:t>二、又公寓大廈之公共基金，依公寓大廈管理條例（以下簡稱條例</w:t>
      </w:r>
      <w:r w:rsidRPr="00261B16">
        <w:rPr>
          <w:rFonts w:ascii="標楷體" w:eastAsia="標楷體" w:hAnsi="標楷體" w:hint="eastAsia"/>
          <w:spacing w:val="-13"/>
          <w:sz w:val="28"/>
          <w:szCs w:val="28"/>
        </w:rPr>
        <w:t>）</w:t>
      </w:r>
      <w:r w:rsidRPr="00261B16">
        <w:rPr>
          <w:rFonts w:ascii="標楷體" w:eastAsia="標楷體" w:hAnsi="標楷體"/>
          <w:spacing w:val="-13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26"/>
          <w:sz w:val="28"/>
          <w:szCs w:val="28"/>
        </w:rPr>
        <w:t>第</w:t>
      </w:r>
      <w:r w:rsidRPr="00261B16">
        <w:rPr>
          <w:rFonts w:ascii="標楷體" w:eastAsia="標楷體" w:hAnsi="標楷體"/>
          <w:spacing w:val="-26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18</w:t>
      </w:r>
      <w:r w:rsidRPr="00261B16">
        <w:rPr>
          <w:rFonts w:ascii="標楷體" w:eastAsia="標楷體" w:hAnsi="標楷體"/>
          <w:spacing w:val="-26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26"/>
          <w:sz w:val="28"/>
          <w:szCs w:val="28"/>
        </w:rPr>
        <w:t>條第</w:t>
      </w:r>
      <w:r w:rsidRPr="00261B16">
        <w:rPr>
          <w:rFonts w:ascii="標楷體" w:eastAsia="標楷體" w:hAnsi="標楷體"/>
          <w:spacing w:val="-26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3</w:t>
      </w:r>
      <w:r w:rsidRPr="00261B16">
        <w:rPr>
          <w:rFonts w:ascii="標楷體" w:eastAsia="標楷體" w:hAnsi="標楷體"/>
          <w:spacing w:val="-8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8"/>
          <w:sz w:val="28"/>
          <w:szCs w:val="28"/>
        </w:rPr>
        <w:t>項規定：「公共基金應設專戶儲存，並由管理負責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人或管理委員會負責管理。其運用應依區分所有權人會議之決</w:t>
      </w:r>
      <w:r w:rsidRPr="00261B16">
        <w:rPr>
          <w:rFonts w:ascii="標楷體" w:eastAsia="標楷體" w:hAnsi="標楷體" w:hint="eastAsia"/>
          <w:sz w:val="28"/>
          <w:szCs w:val="28"/>
        </w:rPr>
        <w:t>議為之。」如以公共基金交付信託，</w:t>
      </w:r>
      <w:proofErr w:type="gramStart"/>
      <w:r w:rsidRPr="00261B16">
        <w:rPr>
          <w:rFonts w:ascii="標楷體" w:eastAsia="標楷體" w:hAnsi="標楷體" w:hint="eastAsia"/>
          <w:sz w:val="28"/>
          <w:szCs w:val="28"/>
        </w:rPr>
        <w:t>揆</w:t>
      </w:r>
      <w:proofErr w:type="gramEnd"/>
      <w:r w:rsidRPr="00261B16">
        <w:rPr>
          <w:rFonts w:ascii="標楷體" w:eastAsia="標楷體" w:hAnsi="標楷體" w:hint="eastAsia"/>
          <w:sz w:val="28"/>
          <w:szCs w:val="28"/>
        </w:rPr>
        <w:t>諸前開信託法第</w:t>
      </w:r>
      <w:r w:rsidRPr="00261B16">
        <w:rPr>
          <w:rFonts w:ascii="標楷體" w:eastAsia="標楷體" w:hAnsi="標楷體"/>
          <w:sz w:val="28"/>
          <w:szCs w:val="28"/>
        </w:rPr>
        <w:t xml:space="preserve"> 1</w:t>
      </w:r>
      <w:r w:rsidRPr="00261B16">
        <w:rPr>
          <w:rFonts w:ascii="標楷體" w:eastAsia="標楷體" w:hAnsi="標楷體"/>
          <w:spacing w:val="5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5"/>
          <w:sz w:val="28"/>
          <w:szCs w:val="28"/>
        </w:rPr>
        <w:t>條規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定，需將該公共基金移轉至受託人名下，以受託人為名義上之</w:t>
      </w:r>
      <w:r w:rsidRPr="00261B16">
        <w:rPr>
          <w:rFonts w:ascii="標楷體" w:eastAsia="標楷體" w:hAnsi="標楷體" w:hint="eastAsia"/>
          <w:spacing w:val="-6"/>
          <w:sz w:val="28"/>
          <w:szCs w:val="28"/>
        </w:rPr>
        <w:t>所有權人，與前開條例「公共基金應設專戶儲存，並由管理負責人或管理委員會負責管理」之規定不符。</w:t>
      </w:r>
    </w:p>
    <w:p w14:paraId="25108232" w14:textId="77777777" w:rsidR="00261B16" w:rsidRPr="00261B16" w:rsidRDefault="00261B16" w:rsidP="00261B16">
      <w:pPr>
        <w:kinsoku w:val="0"/>
        <w:overflowPunct w:val="0"/>
        <w:spacing w:before="3" w:line="256" w:lineRule="auto"/>
        <w:ind w:left="883" w:right="224" w:hanging="483"/>
        <w:rPr>
          <w:rFonts w:ascii="標楷體" w:eastAsia="標楷體" w:hAnsi="標楷體"/>
          <w:spacing w:val="-7"/>
          <w:sz w:val="28"/>
          <w:szCs w:val="28"/>
        </w:rPr>
      </w:pPr>
      <w:r w:rsidRPr="00261B16">
        <w:rPr>
          <w:rFonts w:ascii="標楷體" w:eastAsia="標楷體" w:hAnsi="標楷體" w:hint="eastAsia"/>
          <w:spacing w:val="-9"/>
          <w:sz w:val="28"/>
          <w:szCs w:val="28"/>
        </w:rPr>
        <w:t>三、另按「共用部分、約定共用部分之修繕、管理、維護，由管理負責人或管理委員會為之。其費用由公共基金支付</w:t>
      </w:r>
      <w:r w:rsidRPr="00261B16">
        <w:rPr>
          <w:rFonts w:ascii="標楷體" w:eastAsia="標楷體" w:hAnsi="標楷體"/>
          <w:spacing w:val="-9"/>
          <w:sz w:val="28"/>
          <w:szCs w:val="28"/>
        </w:rPr>
        <w:t>...</w:t>
      </w:r>
      <w:r w:rsidRPr="00261B16">
        <w:rPr>
          <w:rFonts w:ascii="標楷體" w:eastAsia="標楷體" w:hAnsi="標楷體" w:hint="eastAsia"/>
          <w:spacing w:val="-9"/>
          <w:sz w:val="28"/>
          <w:szCs w:val="28"/>
        </w:rPr>
        <w:t>」、「共用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部分及其相關設施之拆除、重大修繕或改良，應依區分所有權人會議之決議為之。前項費用，由公共基金支付</w:t>
      </w:r>
      <w:r w:rsidRPr="00261B16">
        <w:rPr>
          <w:rFonts w:ascii="標楷體" w:eastAsia="標楷體" w:hAnsi="標楷體"/>
          <w:spacing w:val="3"/>
          <w:sz w:val="28"/>
          <w:szCs w:val="28"/>
        </w:rPr>
        <w:t>...</w:t>
      </w:r>
      <w:r w:rsidRPr="00261B16">
        <w:rPr>
          <w:rFonts w:ascii="標楷體" w:eastAsia="標楷體" w:hAnsi="標楷體" w:hint="eastAsia"/>
          <w:spacing w:val="3"/>
          <w:sz w:val="28"/>
          <w:szCs w:val="28"/>
        </w:rPr>
        <w:t>」分別為條</w:t>
      </w:r>
      <w:r w:rsidRPr="00261B16">
        <w:rPr>
          <w:rFonts w:ascii="標楷體" w:eastAsia="標楷體" w:hAnsi="標楷體" w:hint="eastAsia"/>
          <w:spacing w:val="-23"/>
          <w:sz w:val="28"/>
          <w:szCs w:val="28"/>
        </w:rPr>
        <w:t>例第</w:t>
      </w:r>
      <w:r w:rsidRPr="00261B16">
        <w:rPr>
          <w:rFonts w:ascii="標楷體" w:eastAsia="標楷體" w:hAnsi="標楷體"/>
          <w:spacing w:val="-23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10</w:t>
      </w:r>
      <w:r w:rsidRPr="00261B16">
        <w:rPr>
          <w:rFonts w:ascii="標楷體" w:eastAsia="標楷體" w:hAnsi="標楷體"/>
          <w:spacing w:val="-38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38"/>
          <w:sz w:val="28"/>
          <w:szCs w:val="28"/>
        </w:rPr>
        <w:t>條第</w:t>
      </w:r>
      <w:r w:rsidRPr="00261B16">
        <w:rPr>
          <w:rFonts w:ascii="標楷體" w:eastAsia="標楷體" w:hAnsi="標楷體"/>
          <w:spacing w:val="-38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2</w:t>
      </w:r>
      <w:r w:rsidRPr="00261B16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30"/>
          <w:sz w:val="28"/>
          <w:szCs w:val="28"/>
        </w:rPr>
        <w:t>項及第</w:t>
      </w:r>
      <w:r w:rsidRPr="00261B16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11</w:t>
      </w:r>
      <w:r w:rsidRPr="00261B16">
        <w:rPr>
          <w:rFonts w:ascii="標楷體" w:eastAsia="標楷體" w:hAnsi="標楷體"/>
          <w:spacing w:val="-9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9"/>
          <w:sz w:val="28"/>
          <w:szCs w:val="28"/>
        </w:rPr>
        <w:t>條所明定，又區分所</w:t>
      </w:r>
      <w:r w:rsidRPr="00261B16">
        <w:rPr>
          <w:rFonts w:ascii="標楷體" w:eastAsia="標楷體" w:hAnsi="標楷體" w:hint="eastAsia"/>
          <w:spacing w:val="-9"/>
          <w:sz w:val="28"/>
          <w:szCs w:val="28"/>
        </w:rPr>
        <w:lastRenderedPageBreak/>
        <w:t>有權人會議之決議</w:t>
      </w:r>
      <w:r w:rsidRPr="00261B16">
        <w:rPr>
          <w:rFonts w:ascii="標楷體" w:eastAsia="標楷體" w:hAnsi="標楷體" w:hint="eastAsia"/>
          <w:spacing w:val="-13"/>
          <w:sz w:val="28"/>
          <w:szCs w:val="28"/>
        </w:rPr>
        <w:t>不得違反公寓大廈管理條例之規定，本部</w:t>
      </w:r>
      <w:r w:rsidRPr="00261B16">
        <w:rPr>
          <w:rFonts w:ascii="標楷體" w:eastAsia="標楷體" w:hAnsi="標楷體"/>
          <w:spacing w:val="-13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94</w:t>
      </w:r>
      <w:r w:rsidRPr="00261B16">
        <w:rPr>
          <w:rFonts w:ascii="標楷體" w:eastAsia="標楷體" w:hAnsi="標楷體"/>
          <w:spacing w:val="-50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50"/>
          <w:sz w:val="28"/>
          <w:szCs w:val="28"/>
        </w:rPr>
        <w:t>年</w:t>
      </w:r>
      <w:r w:rsidRPr="00261B16">
        <w:rPr>
          <w:rFonts w:ascii="標楷體" w:eastAsia="標楷體" w:hAnsi="標楷體"/>
          <w:spacing w:val="-50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5</w:t>
      </w:r>
      <w:r w:rsidRPr="00261B16">
        <w:rPr>
          <w:rFonts w:ascii="標楷體" w:eastAsia="標楷體" w:hAnsi="標楷體"/>
          <w:spacing w:val="-49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49"/>
          <w:sz w:val="28"/>
          <w:szCs w:val="28"/>
        </w:rPr>
        <w:t>月</w:t>
      </w:r>
      <w:r w:rsidRPr="00261B16">
        <w:rPr>
          <w:rFonts w:ascii="標楷體" w:eastAsia="標楷體" w:hAnsi="標楷體"/>
          <w:spacing w:val="-49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12</w:t>
      </w:r>
      <w:r w:rsidRPr="00261B16">
        <w:rPr>
          <w:rFonts w:ascii="標楷體" w:eastAsia="標楷體" w:hAnsi="標楷體"/>
          <w:spacing w:val="-16"/>
          <w:sz w:val="28"/>
          <w:szCs w:val="28"/>
        </w:rPr>
        <w:t xml:space="preserve"> </w:t>
      </w:r>
      <w:proofErr w:type="gramStart"/>
      <w:r w:rsidRPr="00261B16">
        <w:rPr>
          <w:rFonts w:ascii="標楷體" w:eastAsia="標楷體" w:hAnsi="標楷體" w:hint="eastAsia"/>
          <w:spacing w:val="-16"/>
          <w:sz w:val="28"/>
          <w:szCs w:val="28"/>
        </w:rPr>
        <w:t>日內授營</w:t>
      </w:r>
      <w:r w:rsidRPr="00261B16">
        <w:rPr>
          <w:rFonts w:ascii="標楷體" w:eastAsia="標楷體" w:hAnsi="標楷體" w:hint="eastAsia"/>
          <w:spacing w:val="-21"/>
          <w:sz w:val="28"/>
          <w:szCs w:val="28"/>
        </w:rPr>
        <w:t>建</w:t>
      </w:r>
      <w:proofErr w:type="gramEnd"/>
      <w:r w:rsidRPr="00261B16">
        <w:rPr>
          <w:rFonts w:ascii="標楷體" w:eastAsia="標楷體" w:hAnsi="標楷體" w:hint="eastAsia"/>
          <w:spacing w:val="-21"/>
          <w:sz w:val="28"/>
          <w:szCs w:val="28"/>
        </w:rPr>
        <w:t>管字第</w:t>
      </w:r>
      <w:r w:rsidRPr="00261B16">
        <w:rPr>
          <w:rFonts w:ascii="標楷體" w:eastAsia="標楷體" w:hAnsi="標楷體"/>
          <w:spacing w:val="-21"/>
          <w:sz w:val="28"/>
          <w:szCs w:val="28"/>
        </w:rPr>
        <w:t xml:space="preserve"> </w:t>
      </w:r>
      <w:r w:rsidRPr="00261B16">
        <w:rPr>
          <w:rFonts w:ascii="標楷體" w:eastAsia="標楷體" w:hAnsi="標楷體"/>
          <w:sz w:val="28"/>
          <w:szCs w:val="28"/>
        </w:rPr>
        <w:t>0940083300</w:t>
      </w:r>
      <w:r w:rsidRPr="00261B16">
        <w:rPr>
          <w:rFonts w:ascii="標楷體" w:eastAsia="標楷體" w:hAnsi="標楷體"/>
          <w:spacing w:val="-7"/>
          <w:sz w:val="28"/>
          <w:szCs w:val="28"/>
        </w:rPr>
        <w:t xml:space="preserve"> </w:t>
      </w:r>
      <w:r w:rsidRPr="00261B16">
        <w:rPr>
          <w:rFonts w:ascii="標楷體" w:eastAsia="標楷體" w:hAnsi="標楷體" w:hint="eastAsia"/>
          <w:spacing w:val="-7"/>
          <w:sz w:val="28"/>
          <w:szCs w:val="28"/>
        </w:rPr>
        <w:t>號</w:t>
      </w:r>
      <w:proofErr w:type="gramStart"/>
      <w:r w:rsidRPr="00261B16">
        <w:rPr>
          <w:rFonts w:ascii="標楷體" w:eastAsia="標楷體" w:hAnsi="標楷體" w:hint="eastAsia"/>
          <w:spacing w:val="-7"/>
          <w:sz w:val="28"/>
          <w:szCs w:val="28"/>
        </w:rPr>
        <w:t>函已有明釋。</w:t>
      </w:r>
      <w:proofErr w:type="gramEnd"/>
      <w:r w:rsidRPr="00261B16">
        <w:rPr>
          <w:rFonts w:ascii="標楷體" w:eastAsia="標楷體" w:hAnsi="標楷體" w:hint="eastAsia"/>
          <w:spacing w:val="-7"/>
          <w:sz w:val="28"/>
          <w:szCs w:val="28"/>
        </w:rPr>
        <w:t>故公共基金之用途及運用方式，應以前</w:t>
      </w:r>
      <w:proofErr w:type="gramStart"/>
      <w:r w:rsidRPr="00261B16">
        <w:rPr>
          <w:rFonts w:ascii="標楷體" w:eastAsia="標楷體" w:hAnsi="標楷體" w:hint="eastAsia"/>
          <w:spacing w:val="-7"/>
          <w:sz w:val="28"/>
          <w:szCs w:val="28"/>
        </w:rPr>
        <w:t>揭</w:t>
      </w:r>
      <w:proofErr w:type="gramEnd"/>
      <w:r w:rsidRPr="00261B16">
        <w:rPr>
          <w:rFonts w:ascii="標楷體" w:eastAsia="標楷體" w:hAnsi="標楷體" w:hint="eastAsia"/>
          <w:spacing w:val="-7"/>
          <w:sz w:val="28"/>
          <w:szCs w:val="28"/>
        </w:rPr>
        <w:t>規定為原則，不得作為信託用途。</w:t>
      </w:r>
    </w:p>
    <w:p w14:paraId="055F71CA" w14:textId="77777777" w:rsidR="00261B16" w:rsidRPr="00261B16" w:rsidRDefault="00261B16" w:rsidP="00261B16">
      <w:pPr>
        <w:kinsoku w:val="0"/>
        <w:overflowPunct w:val="0"/>
        <w:spacing w:before="8"/>
        <w:ind w:left="400"/>
        <w:rPr>
          <w:rFonts w:ascii="標楷體" w:eastAsia="標楷體" w:hAnsi="標楷體"/>
          <w:sz w:val="28"/>
          <w:szCs w:val="28"/>
        </w:rPr>
      </w:pPr>
    </w:p>
    <w:p w14:paraId="4E5236D6" w14:textId="610AFFE1" w:rsidR="00343A25" w:rsidRPr="00261B16" w:rsidRDefault="00343A25" w:rsidP="00261B16">
      <w:pPr>
        <w:rPr>
          <w:sz w:val="28"/>
          <w:szCs w:val="28"/>
        </w:rPr>
      </w:pPr>
    </w:p>
    <w:sectPr w:rsidR="00343A25" w:rsidRPr="00261B1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C1B82" w14:textId="77777777" w:rsidR="004B0957" w:rsidRDefault="004B0957" w:rsidP="00CC62D6">
      <w:r>
        <w:separator/>
      </w:r>
    </w:p>
  </w:endnote>
  <w:endnote w:type="continuationSeparator" w:id="0">
    <w:p w14:paraId="59174530" w14:textId="77777777" w:rsidR="004B0957" w:rsidRDefault="004B0957" w:rsidP="00CC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392876"/>
      <w:docPartObj>
        <w:docPartGallery w:val="Page Numbers (Bottom of Page)"/>
        <w:docPartUnique/>
      </w:docPartObj>
    </w:sdtPr>
    <w:sdtContent>
      <w:p w14:paraId="27AED2D5" w14:textId="77777777" w:rsidR="00B54398" w:rsidRDefault="00B543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B6F" w:rsidRPr="00EA7B6F">
          <w:rPr>
            <w:noProof/>
            <w:lang w:val="zh-TW"/>
          </w:rPr>
          <w:t>18</w:t>
        </w:r>
        <w:r>
          <w:fldChar w:fldCharType="end"/>
        </w:r>
      </w:p>
    </w:sdtContent>
  </w:sdt>
  <w:p w14:paraId="78DAF4FE" w14:textId="77777777" w:rsidR="00B54398" w:rsidRDefault="00B543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5301" w14:textId="77777777" w:rsidR="004B0957" w:rsidRDefault="004B0957" w:rsidP="00CC62D6">
      <w:r>
        <w:separator/>
      </w:r>
    </w:p>
  </w:footnote>
  <w:footnote w:type="continuationSeparator" w:id="0">
    <w:p w14:paraId="15C808CD" w14:textId="77777777" w:rsidR="004B0957" w:rsidRDefault="004B0957" w:rsidP="00CC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4E"/>
    <w:multiLevelType w:val="multilevel"/>
    <w:tmpl w:val="6E122F06"/>
    <w:lvl w:ilvl="0">
      <w:start w:val="2"/>
      <w:numFmt w:val="decimal"/>
      <w:pStyle w:val="5"/>
      <w:lvlText w:val="%1."/>
      <w:lvlJc w:val="left"/>
      <w:pPr>
        <w:ind w:left="341" w:hanging="341"/>
      </w:pPr>
      <w:rPr>
        <w:rFonts w:ascii="Calibri" w:hAnsi="Calibri" w:cs="Calibri"/>
        <w:b/>
        <w:bCs/>
        <w:w w:val="99"/>
        <w:sz w:val="24"/>
        <w:szCs w:val="24"/>
      </w:rPr>
    </w:lvl>
    <w:lvl w:ilvl="1">
      <w:numFmt w:val="bullet"/>
      <w:lvlText w:val="○"/>
      <w:lvlJc w:val="left"/>
      <w:pPr>
        <w:ind w:left="528" w:hanging="243"/>
      </w:pPr>
      <w:rPr>
        <w:rFonts w:ascii="細明體_HKSCS" w:hAnsi="Times New Roman" w:cs="細明體_HKSCS"/>
        <w:b w:val="0"/>
        <w:bCs w:val="0"/>
        <w:spacing w:val="2"/>
        <w:w w:val="99"/>
        <w:sz w:val="22"/>
        <w:szCs w:val="22"/>
      </w:rPr>
    </w:lvl>
    <w:lvl w:ilvl="2">
      <w:numFmt w:val="bullet"/>
      <w:lvlText w:val="○"/>
      <w:lvlJc w:val="left"/>
      <w:pPr>
        <w:ind w:left="1080" w:hanging="241"/>
      </w:pPr>
      <w:rPr>
        <w:rFonts w:ascii="細明體_HKSCS" w:hAnsi="Times New Roman" w:cs="細明體_HKSCS"/>
        <w:b w:val="0"/>
        <w:bCs w:val="0"/>
        <w:spacing w:val="-46"/>
        <w:w w:val="99"/>
        <w:sz w:val="22"/>
        <w:szCs w:val="22"/>
      </w:rPr>
    </w:lvl>
    <w:lvl w:ilvl="3">
      <w:numFmt w:val="bullet"/>
      <w:lvlText w:val="•"/>
      <w:lvlJc w:val="left"/>
      <w:pPr>
        <w:ind w:left="2015" w:hanging="241"/>
      </w:pPr>
    </w:lvl>
    <w:lvl w:ilvl="4">
      <w:numFmt w:val="bullet"/>
      <w:lvlText w:val="•"/>
      <w:lvlJc w:val="left"/>
      <w:pPr>
        <w:ind w:left="2948" w:hanging="241"/>
      </w:pPr>
    </w:lvl>
    <w:lvl w:ilvl="5">
      <w:numFmt w:val="bullet"/>
      <w:lvlText w:val="•"/>
      <w:lvlJc w:val="left"/>
      <w:pPr>
        <w:ind w:left="3880" w:hanging="241"/>
      </w:pPr>
    </w:lvl>
    <w:lvl w:ilvl="6">
      <w:numFmt w:val="bullet"/>
      <w:lvlText w:val="•"/>
      <w:lvlJc w:val="left"/>
      <w:pPr>
        <w:ind w:left="4813" w:hanging="241"/>
      </w:pPr>
    </w:lvl>
    <w:lvl w:ilvl="7">
      <w:numFmt w:val="bullet"/>
      <w:lvlText w:val="•"/>
      <w:lvlJc w:val="left"/>
      <w:pPr>
        <w:ind w:left="5745" w:hanging="241"/>
      </w:pPr>
    </w:lvl>
    <w:lvl w:ilvl="8">
      <w:numFmt w:val="bullet"/>
      <w:lvlText w:val="•"/>
      <w:lvlJc w:val="left"/>
      <w:pPr>
        <w:ind w:left="6678" w:hanging="241"/>
      </w:pPr>
    </w:lvl>
  </w:abstractNum>
  <w:num w:numId="1" w16cid:durableId="8574282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3B"/>
    <w:rsid w:val="0009533B"/>
    <w:rsid w:val="000C645D"/>
    <w:rsid w:val="000D0493"/>
    <w:rsid w:val="000F26DD"/>
    <w:rsid w:val="001014B3"/>
    <w:rsid w:val="001B2BC0"/>
    <w:rsid w:val="002168F5"/>
    <w:rsid w:val="00261B16"/>
    <w:rsid w:val="002D01E1"/>
    <w:rsid w:val="002D2591"/>
    <w:rsid w:val="00334F61"/>
    <w:rsid w:val="00343A25"/>
    <w:rsid w:val="00360591"/>
    <w:rsid w:val="003C02CB"/>
    <w:rsid w:val="00406819"/>
    <w:rsid w:val="004B0957"/>
    <w:rsid w:val="004C4990"/>
    <w:rsid w:val="005A3446"/>
    <w:rsid w:val="006B016F"/>
    <w:rsid w:val="006C21FA"/>
    <w:rsid w:val="00754337"/>
    <w:rsid w:val="008D4D0C"/>
    <w:rsid w:val="00971E8D"/>
    <w:rsid w:val="009E7E3C"/>
    <w:rsid w:val="00B03A93"/>
    <w:rsid w:val="00B52A55"/>
    <w:rsid w:val="00B54398"/>
    <w:rsid w:val="00C210B9"/>
    <w:rsid w:val="00C81AAF"/>
    <w:rsid w:val="00CC62D6"/>
    <w:rsid w:val="00DC4FF6"/>
    <w:rsid w:val="00DC7D45"/>
    <w:rsid w:val="00DD0903"/>
    <w:rsid w:val="00DE1E64"/>
    <w:rsid w:val="00DF53FC"/>
    <w:rsid w:val="00E416A8"/>
    <w:rsid w:val="00E57F2F"/>
    <w:rsid w:val="00EA7B6F"/>
    <w:rsid w:val="00E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F7F6A"/>
  <w15:docId w15:val="{2FB983BD-E8DF-4ED3-8FBF-C25730A6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591"/>
    <w:pPr>
      <w:widowControl w:val="0"/>
    </w:pPr>
    <w:rPr>
      <w:rFonts w:ascii="Consolas" w:eastAsia="新細明體" w:hAnsi="Arial" w:cs="Calibri Light"/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591"/>
    <w:pPr>
      <w:keepNext/>
      <w:spacing w:line="720" w:lineRule="auto"/>
      <w:outlineLvl w:val="1"/>
    </w:pPr>
    <w:rPr>
      <w:rFonts w:ascii="Calibri Light" w:hAnsi="Calibri Light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2D6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CC62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2D6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CC62D6"/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C62D6"/>
    <w:pPr>
      <w:numPr>
        <w:numId w:val="1"/>
      </w:numPr>
      <w:tabs>
        <w:tab w:val="left" w:pos="459"/>
      </w:tabs>
      <w:kinsoku w:val="0"/>
      <w:overflowPunct w:val="0"/>
      <w:spacing w:before="98" w:line="440" w:lineRule="exact"/>
      <w:ind w:leftChars="-29" w:left="284" w:hanging="342"/>
      <w:outlineLvl w:val="2"/>
    </w:pPr>
    <w:rPr>
      <w:rFonts w:ascii="Calibri" w:hAnsi="Calibri" w:cs="Times New Roman"/>
    </w:rPr>
  </w:style>
  <w:style w:type="character" w:customStyle="1" w:styleId="20">
    <w:name w:val="標題 2 字元"/>
    <w:basedOn w:val="a0"/>
    <w:link w:val="2"/>
    <w:uiPriority w:val="9"/>
    <w:semiHidden/>
    <w:rsid w:val="00360591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21">
    <w:name w:val="toc 2"/>
    <w:basedOn w:val="a"/>
    <w:next w:val="a"/>
    <w:autoRedefine/>
    <w:uiPriority w:val="39"/>
    <w:unhideWhenUsed/>
    <w:rsid w:val="00360591"/>
    <w:pPr>
      <w:ind w:leftChars="200" w:left="480"/>
    </w:pPr>
  </w:style>
  <w:style w:type="paragraph" w:styleId="3">
    <w:name w:val="toc 3"/>
    <w:basedOn w:val="a"/>
    <w:next w:val="a"/>
    <w:autoRedefine/>
    <w:uiPriority w:val="39"/>
    <w:unhideWhenUsed/>
    <w:rsid w:val="00360591"/>
    <w:pPr>
      <w:ind w:leftChars="400" w:left="960"/>
    </w:pPr>
  </w:style>
  <w:style w:type="paragraph" w:styleId="1">
    <w:name w:val="toc 1"/>
    <w:basedOn w:val="a"/>
    <w:next w:val="a"/>
    <w:autoRedefine/>
    <w:uiPriority w:val="39"/>
    <w:unhideWhenUsed/>
    <w:rsid w:val="00360591"/>
  </w:style>
  <w:style w:type="paragraph" w:styleId="4">
    <w:name w:val="toc 4"/>
    <w:basedOn w:val="a"/>
    <w:next w:val="a"/>
    <w:autoRedefine/>
    <w:uiPriority w:val="39"/>
    <w:unhideWhenUsed/>
    <w:rsid w:val="00360591"/>
    <w:pPr>
      <w:ind w:leftChars="600" w:left="1440"/>
    </w:pPr>
    <w:rPr>
      <w:rFonts w:ascii="Calibri" w:hAnsi="Calibri" w:cs="Times New Roman"/>
      <w:kern w:val="2"/>
      <w:sz w:val="24"/>
      <w:szCs w:val="22"/>
    </w:rPr>
  </w:style>
  <w:style w:type="paragraph" w:styleId="6">
    <w:name w:val="toc 6"/>
    <w:basedOn w:val="a"/>
    <w:next w:val="a"/>
    <w:autoRedefine/>
    <w:uiPriority w:val="39"/>
    <w:unhideWhenUsed/>
    <w:rsid w:val="00360591"/>
    <w:pPr>
      <w:ind w:leftChars="1000" w:left="2400"/>
    </w:pPr>
    <w:rPr>
      <w:rFonts w:ascii="Calibri" w:hAnsi="Calibri" w:cs="Times New Roman"/>
      <w:kern w:val="2"/>
      <w:sz w:val="24"/>
      <w:szCs w:val="22"/>
    </w:rPr>
  </w:style>
  <w:style w:type="paragraph" w:styleId="7">
    <w:name w:val="toc 7"/>
    <w:basedOn w:val="a"/>
    <w:next w:val="a"/>
    <w:autoRedefine/>
    <w:uiPriority w:val="39"/>
    <w:unhideWhenUsed/>
    <w:rsid w:val="00360591"/>
    <w:pPr>
      <w:ind w:leftChars="1200" w:left="2880"/>
    </w:pPr>
    <w:rPr>
      <w:rFonts w:ascii="Calibri" w:hAnsi="Calibri" w:cs="Times New Roman"/>
      <w:kern w:val="2"/>
      <w:sz w:val="24"/>
      <w:szCs w:val="22"/>
    </w:rPr>
  </w:style>
  <w:style w:type="paragraph" w:styleId="8">
    <w:name w:val="toc 8"/>
    <w:basedOn w:val="a"/>
    <w:next w:val="a"/>
    <w:autoRedefine/>
    <w:uiPriority w:val="39"/>
    <w:unhideWhenUsed/>
    <w:rsid w:val="00360591"/>
    <w:pPr>
      <w:ind w:leftChars="1400" w:left="3360"/>
    </w:pPr>
    <w:rPr>
      <w:rFonts w:ascii="Calibri" w:hAnsi="Calibri" w:cs="Times New Roman"/>
      <w:kern w:val="2"/>
      <w:sz w:val="24"/>
      <w:szCs w:val="22"/>
    </w:rPr>
  </w:style>
  <w:style w:type="paragraph" w:styleId="9">
    <w:name w:val="toc 9"/>
    <w:basedOn w:val="a"/>
    <w:next w:val="a"/>
    <w:autoRedefine/>
    <w:uiPriority w:val="39"/>
    <w:unhideWhenUsed/>
    <w:rsid w:val="00360591"/>
    <w:pPr>
      <w:ind w:leftChars="1600" w:left="3840"/>
    </w:pPr>
    <w:rPr>
      <w:rFonts w:ascii="Calibri" w:hAnsi="Calibri" w:cs="Times New Roman"/>
      <w:kern w:val="2"/>
      <w:sz w:val="24"/>
      <w:szCs w:val="22"/>
    </w:rPr>
  </w:style>
  <w:style w:type="character" w:styleId="a7">
    <w:name w:val="Hyperlink"/>
    <w:uiPriority w:val="99"/>
    <w:unhideWhenUsed/>
    <w:rsid w:val="00360591"/>
    <w:rPr>
      <w:color w:val="0563C1"/>
      <w:u w:val="single"/>
    </w:rPr>
  </w:style>
  <w:style w:type="character" w:customStyle="1" w:styleId="10">
    <w:name w:val="未解析的提及1"/>
    <w:uiPriority w:val="99"/>
    <w:semiHidden/>
    <w:unhideWhenUsed/>
    <w:rsid w:val="00360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USER-260129</cp:lastModifiedBy>
  <cp:revision>2</cp:revision>
  <dcterms:created xsi:type="dcterms:W3CDTF">2026-02-04T06:18:00Z</dcterms:created>
  <dcterms:modified xsi:type="dcterms:W3CDTF">2026-02-04T06:18:00Z</dcterms:modified>
</cp:coreProperties>
</file>