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31D66" w14:textId="77777777" w:rsidR="004F2951" w:rsidRDefault="004F2951"/>
    <w:p w14:paraId="264B63C8" w14:textId="77927583" w:rsidR="004F2951" w:rsidRPr="004F2951" w:rsidRDefault="004F2951">
      <w:pPr>
        <w:rPr>
          <w:rFonts w:ascii="標楷體" w:eastAsia="標楷體" w:hAnsi="標楷體" w:hint="eastAsia"/>
          <w:b/>
          <w:bCs/>
        </w:rPr>
      </w:pPr>
      <w:r>
        <w:rPr>
          <w:rFonts w:hint="eastAsia"/>
        </w:rPr>
        <w:t>21150624-</w:t>
      </w:r>
      <w:r w:rsidRPr="004F2951">
        <w:rPr>
          <w:rFonts w:ascii="標楷體" w:eastAsia="標楷體" w:hAnsi="標楷體" w:hint="eastAsia"/>
          <w:b/>
          <w:bCs/>
        </w:rPr>
        <w:t xml:space="preserve"> </w:t>
      </w:r>
      <w:r w:rsidRPr="004F2951">
        <w:rPr>
          <w:rFonts w:ascii="標楷體" w:eastAsia="標楷體" w:hAnsi="標楷體"/>
          <w:b/>
          <w:bCs/>
        </w:rPr>
        <w:t>因為惡意訴訟而被法院處罰的案</w:t>
      </w:r>
      <w:r>
        <w:rPr>
          <w:rFonts w:ascii="標楷體" w:eastAsia="標楷體" w:hAnsi="標楷體" w:hint="eastAsia"/>
          <w:b/>
          <w:bCs/>
        </w:rPr>
        <w:t>4年僅48件，立法意旨形虛設</w:t>
      </w:r>
    </w:p>
    <w:p w14:paraId="37E517D6" w14:textId="77777777" w:rsidR="004F2951" w:rsidRDefault="004F2951" w:rsidP="004F2951">
      <w:pPr>
        <w:widowControl/>
        <w:spacing w:after="0" w:line="240" w:lineRule="auto"/>
        <w:rPr>
          <w:rFonts w:ascii="標楷體" w:eastAsia="標楷體" w:hAnsi="標楷體" w:cs="Arial"/>
          <w:kern w:val="0"/>
          <w14:ligatures w14:val="none"/>
        </w:rPr>
      </w:pPr>
    </w:p>
    <w:p w14:paraId="0D2EDF2C" w14:textId="600EEE9E" w:rsidR="004F2951" w:rsidRPr="004F2951" w:rsidRDefault="004F2951" w:rsidP="004F2951">
      <w:pPr>
        <w:widowControl/>
        <w:spacing w:after="0" w:line="240" w:lineRule="auto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kern w:val="0"/>
          <w14:ligatures w14:val="none"/>
        </w:rPr>
        <w:t>因為惡意訴訟（俗稱濫訴）而被法院處罰的案件</w:t>
      </w:r>
      <w:r w:rsidRPr="004F2951">
        <w:rPr>
          <w:rFonts w:ascii="標楷體" w:eastAsia="標楷體" w:hAnsi="標楷體" w:cs="Arial"/>
          <w:b/>
          <w:bCs/>
          <w:kern w:val="0"/>
          <w14:ligatures w14:val="none"/>
        </w:rPr>
        <w:t>並不多</w:t>
      </w:r>
      <w:r w:rsidRPr="004F2951">
        <w:rPr>
          <w:rFonts w:ascii="標楷體" w:eastAsia="標楷體" w:hAnsi="標楷體" w:cs="Arial"/>
          <w:kern w:val="0"/>
          <w14:ligatures w14:val="none"/>
        </w:rPr>
        <w:t>。 [</w:t>
      </w:r>
      <w:hyperlink r:id="rId5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1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 xml:space="preserve">, </w:t>
      </w:r>
      <w:hyperlink r:id="rId6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2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>]</w:t>
      </w:r>
    </w:p>
    <w:p w14:paraId="5A345F8B" w14:textId="77777777" w:rsidR="004F2951" w:rsidRPr="004F2951" w:rsidRDefault="004F2951" w:rsidP="004F2951">
      <w:pPr>
        <w:widowControl/>
        <w:spacing w:after="0" w:line="240" w:lineRule="auto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kern w:val="0"/>
          <w14:ligatures w14:val="none"/>
        </w:rPr>
        <w:t>雖然法院為防杜濫訴、捍衛司法資源，設有相關的懲罰機制，但實務上認定標準嚴格，且因涉及憲法保障的「訴訟權」，門檻極高。具體的處罰途徑與現況如下： [</w:t>
      </w:r>
      <w:hyperlink r:id="rId7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1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 xml:space="preserve">, </w:t>
      </w:r>
      <w:hyperlink r:id="rId8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2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>]</w:t>
      </w:r>
    </w:p>
    <w:p w14:paraId="2642390E" w14:textId="77777777" w:rsidR="004F2951" w:rsidRPr="004F2951" w:rsidRDefault="004F2951" w:rsidP="004F2951">
      <w:pPr>
        <w:widowControl/>
        <w:spacing w:after="0" w:line="240" w:lineRule="auto"/>
        <w:rPr>
          <w:rFonts w:ascii="標楷體" w:eastAsia="標楷體" w:hAnsi="標楷體" w:cs="Arial"/>
          <w:b/>
          <w:bCs/>
          <w:kern w:val="0"/>
          <w:sz w:val="30"/>
          <w:szCs w:val="30"/>
          <w14:ligatures w14:val="none"/>
        </w:rPr>
      </w:pPr>
      <w:r w:rsidRPr="004F2951">
        <w:rPr>
          <w:rFonts w:ascii="標楷體" w:eastAsia="標楷體" w:hAnsi="標楷體" w:cs="Arial"/>
          <w:b/>
          <w:bCs/>
          <w:kern w:val="0"/>
          <w:sz w:val="30"/>
          <w:szCs w:val="30"/>
          <w14:ligatures w14:val="none"/>
        </w:rPr>
        <w:t>1. 民事訴訟：濫訴罰鍰</w:t>
      </w:r>
    </w:p>
    <w:p w14:paraId="55939498" w14:textId="77777777" w:rsidR="004F2951" w:rsidRPr="004F2951" w:rsidRDefault="004F2951" w:rsidP="004F2951">
      <w:pPr>
        <w:widowControl/>
        <w:spacing w:after="0" w:line="240" w:lineRule="auto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kern w:val="0"/>
          <w14:ligatures w14:val="none"/>
        </w:rPr>
        <w:t>為反制刻意騷擾、主張欠缺合理依據的原告或代理人，法院可依《民事訴訟法》裁處最高新臺幣 12 萬元的罰鍰。 [</w:t>
      </w:r>
      <w:hyperlink r:id="rId9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1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 xml:space="preserve">, </w:t>
      </w:r>
      <w:hyperlink r:id="rId10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2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>]</w:t>
      </w:r>
    </w:p>
    <w:p w14:paraId="19B86223" w14:textId="77777777" w:rsidR="004F2951" w:rsidRPr="00BE183A" w:rsidRDefault="004F2951" w:rsidP="004F2951">
      <w:pPr>
        <w:widowControl/>
        <w:numPr>
          <w:ilvl w:val="0"/>
          <w:numId w:val="1"/>
        </w:numPr>
        <w:spacing w:after="0" w:line="240" w:lineRule="auto"/>
        <w:rPr>
          <w:rFonts w:ascii="標楷體" w:eastAsia="標楷體" w:hAnsi="標楷體" w:cs="Arial"/>
          <w:b/>
          <w:bCs/>
          <w:color w:val="EE0000"/>
          <w:kern w:val="0"/>
          <w14:ligatures w14:val="none"/>
        </w:rPr>
      </w:pPr>
      <w:r w:rsidRPr="004F2951">
        <w:rPr>
          <w:rFonts w:ascii="標楷體" w:eastAsia="標楷體" w:hAnsi="標楷體" w:cs="Arial"/>
          <w:b/>
          <w:bCs/>
          <w:kern w:val="0"/>
          <w14:ligatures w14:val="none"/>
        </w:rPr>
        <w:t>處罰數據</w:t>
      </w:r>
      <w:r w:rsidRPr="004F2951">
        <w:rPr>
          <w:rFonts w:ascii="標楷體" w:eastAsia="標楷體" w:hAnsi="標楷體" w:cs="Arial"/>
          <w:kern w:val="0"/>
          <w14:ligatures w14:val="none"/>
        </w:rPr>
        <w:t xml:space="preserve">：根據 </w:t>
      </w:r>
      <w:hyperlink r:id="rId11" w:tgtFrame="_blank" w:history="1">
        <w:r w:rsidRPr="004F2951">
          <w:rPr>
            <w:rFonts w:ascii="標楷體" w:eastAsia="標楷體" w:hAnsi="標楷體" w:cs="Arial"/>
            <w:b/>
            <w:bCs/>
            <w:color w:val="0000FF"/>
            <w:kern w:val="0"/>
            <w:u w:val="single"/>
            <w14:ligatures w14:val="none"/>
          </w:rPr>
          <w:t>司法院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 xml:space="preserve"> 統計，自 110 年 3 月修法至 114 年 2 月</w:t>
      </w:r>
      <w:r w:rsidRPr="00BE183A">
        <w:rPr>
          <w:rFonts w:ascii="標楷體" w:eastAsia="標楷體" w:hAnsi="標楷體" w:cs="Arial"/>
          <w:b/>
          <w:bCs/>
          <w:color w:val="EE0000"/>
          <w:kern w:val="0"/>
          <w14:ligatures w14:val="none"/>
        </w:rPr>
        <w:t>間，全國各法院依此規定裁罰的案件僅 48 件，罰鍰金額多落在 3 萬元至 12 萬元之間。</w:t>
      </w:r>
    </w:p>
    <w:p w14:paraId="5199A72A" w14:textId="77777777" w:rsidR="004F2951" w:rsidRPr="004F2951" w:rsidRDefault="004F2951" w:rsidP="004F2951">
      <w:pPr>
        <w:widowControl/>
        <w:numPr>
          <w:ilvl w:val="0"/>
          <w:numId w:val="1"/>
        </w:numPr>
        <w:spacing w:after="0" w:line="240" w:lineRule="auto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b/>
          <w:bCs/>
          <w:kern w:val="0"/>
          <w14:ligatures w14:val="none"/>
        </w:rPr>
        <w:t>其他代價</w:t>
      </w:r>
      <w:r w:rsidRPr="004F2951">
        <w:rPr>
          <w:rFonts w:ascii="標楷體" w:eastAsia="標楷體" w:hAnsi="標楷體" w:cs="Arial"/>
          <w:kern w:val="0"/>
          <w14:ligatures w14:val="none"/>
        </w:rPr>
        <w:t>：除了罰鍰，濫訴者還必須負擔對方的訴訟費用，包含律師酬金。 [</w:t>
      </w:r>
      <w:hyperlink r:id="rId12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1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 xml:space="preserve">, </w:t>
      </w:r>
      <w:hyperlink r:id="rId13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2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>]</w:t>
      </w:r>
    </w:p>
    <w:p w14:paraId="0EAED6EB" w14:textId="77777777" w:rsidR="004F2951" w:rsidRPr="004F2951" w:rsidRDefault="004F2951" w:rsidP="004F2951">
      <w:pPr>
        <w:widowControl/>
        <w:spacing w:after="0" w:line="240" w:lineRule="auto"/>
        <w:rPr>
          <w:rFonts w:ascii="標楷體" w:eastAsia="標楷體" w:hAnsi="標楷體" w:cs="Arial"/>
          <w:b/>
          <w:bCs/>
          <w:kern w:val="0"/>
          <w:sz w:val="30"/>
          <w:szCs w:val="30"/>
          <w14:ligatures w14:val="none"/>
        </w:rPr>
      </w:pPr>
      <w:r w:rsidRPr="004F2951">
        <w:rPr>
          <w:rFonts w:ascii="標楷體" w:eastAsia="標楷體" w:hAnsi="標楷體" w:cs="Arial"/>
          <w:b/>
          <w:bCs/>
          <w:kern w:val="0"/>
          <w:sz w:val="30"/>
          <w:szCs w:val="30"/>
          <w14:ligatures w14:val="none"/>
        </w:rPr>
        <w:t>2. 刑事訴訟：誣告罪</w:t>
      </w:r>
    </w:p>
    <w:p w14:paraId="6477B4FC" w14:textId="77777777" w:rsidR="004F2951" w:rsidRPr="004F2951" w:rsidRDefault="004F2951" w:rsidP="004F2951">
      <w:pPr>
        <w:widowControl/>
        <w:spacing w:after="0" w:line="240" w:lineRule="auto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kern w:val="0"/>
          <w14:ligatures w14:val="none"/>
        </w:rPr>
        <w:t>若惡意指控是企圖使他人受刑事或懲戒處分，可能會觸犯刑法第 169 條的「誣告罪」。 [</w:t>
      </w:r>
      <w:hyperlink r:id="rId14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1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>]</w:t>
      </w:r>
    </w:p>
    <w:p w14:paraId="5F67098D" w14:textId="77777777" w:rsidR="004F2951" w:rsidRPr="004F2951" w:rsidRDefault="004F2951" w:rsidP="004F2951">
      <w:pPr>
        <w:widowControl/>
        <w:numPr>
          <w:ilvl w:val="0"/>
          <w:numId w:val="2"/>
        </w:numPr>
        <w:spacing w:after="0" w:line="240" w:lineRule="auto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b/>
          <w:bCs/>
          <w:kern w:val="0"/>
          <w14:ligatures w14:val="none"/>
        </w:rPr>
        <w:t>成罪困難</w:t>
      </w:r>
      <w:r w:rsidRPr="004F2951">
        <w:rPr>
          <w:rFonts w:ascii="標楷體" w:eastAsia="標楷體" w:hAnsi="標楷體" w:cs="Arial"/>
          <w:kern w:val="0"/>
          <w14:ligatures w14:val="none"/>
        </w:rPr>
        <w:t>：誣告罪的起訴率僅約兩成左右。</w:t>
      </w:r>
    </w:p>
    <w:p w14:paraId="0EE6568B" w14:textId="77777777" w:rsidR="004F2951" w:rsidRPr="004F2951" w:rsidRDefault="004F2951" w:rsidP="004F2951">
      <w:pPr>
        <w:widowControl/>
        <w:numPr>
          <w:ilvl w:val="0"/>
          <w:numId w:val="2"/>
        </w:numPr>
        <w:spacing w:after="0" w:line="240" w:lineRule="auto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b/>
          <w:bCs/>
          <w:kern w:val="0"/>
          <w14:ligatures w14:val="none"/>
        </w:rPr>
        <w:t>實務認定</w:t>
      </w:r>
      <w:r w:rsidRPr="004F2951">
        <w:rPr>
          <w:rFonts w:ascii="標楷體" w:eastAsia="標楷體" w:hAnsi="標楷體" w:cs="Arial"/>
          <w:kern w:val="0"/>
          <w14:ligatures w14:val="none"/>
        </w:rPr>
        <w:t>：法院認為，只要提告者不是「完全憑空捏造」，而是出於誤信、誤解或懷疑而釐清是非，就算最後證據不足獲不起訴或無罪，也不會構成誣告罪。 [</w:t>
      </w:r>
      <w:hyperlink r:id="rId15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1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 xml:space="preserve">, </w:t>
      </w:r>
      <w:hyperlink r:id="rId16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2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>]</w:t>
      </w:r>
    </w:p>
    <w:p w14:paraId="3592D0B0" w14:textId="77777777" w:rsidR="004F2951" w:rsidRPr="004F2951" w:rsidRDefault="004F2951" w:rsidP="004F2951">
      <w:pPr>
        <w:widowControl/>
        <w:spacing w:after="0" w:line="240" w:lineRule="auto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kern w:val="0"/>
          <w14:ligatures w14:val="none"/>
        </w:rPr>
        <w:t>整體而言，由於司法制度必須保障人民的訴訟權，防止人民因害怕被告而不敢行使權利，因此在認定「惡意」上非常謹慎。導致實務上提告容易，但要成功讓對方因惡意訴訟而被法院「處罰」的比例相當低。 [</w:t>
      </w:r>
      <w:hyperlink r:id="rId17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1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 xml:space="preserve">, </w:t>
      </w:r>
      <w:hyperlink r:id="rId18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2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 xml:space="preserve">, </w:t>
      </w:r>
      <w:hyperlink r:id="rId19" w:history="1">
        <w:r w:rsidRPr="004F2951">
          <w:rPr>
            <w:rFonts w:ascii="標楷體" w:eastAsia="標楷體" w:hAnsi="標楷體" w:cs="Arial"/>
            <w:color w:val="0000FF"/>
            <w:kern w:val="0"/>
            <w:u w:val="single"/>
            <w14:ligatures w14:val="none"/>
          </w:rPr>
          <w:t>3</w:t>
        </w:r>
      </w:hyperlink>
      <w:r w:rsidRPr="004F2951">
        <w:rPr>
          <w:rFonts w:ascii="標楷體" w:eastAsia="標楷體" w:hAnsi="標楷體" w:cs="Arial"/>
          <w:kern w:val="0"/>
          <w14:ligatures w14:val="none"/>
        </w:rPr>
        <w:t>]</w:t>
      </w:r>
    </w:p>
    <w:p w14:paraId="5C5CC0A2" w14:textId="77777777" w:rsidR="004F2951" w:rsidRPr="004F2951" w:rsidRDefault="004F2951" w:rsidP="004F2951">
      <w:pPr>
        <w:widowControl/>
        <w:spacing w:after="0" w:line="240" w:lineRule="auto"/>
        <w:rPr>
          <w:rFonts w:ascii="標楷體" w:eastAsia="標楷體" w:hAnsi="標楷體" w:cs="Arial"/>
          <w:kern w:val="0"/>
          <w:sz w:val="20"/>
          <w:szCs w:val="20"/>
          <w14:ligatures w14:val="none"/>
        </w:rPr>
      </w:pPr>
      <w:r w:rsidRPr="004F2951">
        <w:rPr>
          <w:rFonts w:ascii="標楷體" w:eastAsia="標楷體" w:hAnsi="標楷體" w:cs="Arial"/>
          <w:noProof/>
          <w:kern w:val="0"/>
          <w:sz w:val="20"/>
          <w:szCs w:val="20"/>
          <w14:ligatures w14:val="none"/>
        </w:rPr>
        <w:drawing>
          <wp:inline distT="0" distB="0" distL="0" distR="0" wp14:anchorId="13BBD16F" wp14:editId="275E58FB">
            <wp:extent cx="191135" cy="191135"/>
            <wp:effectExtent l="0" t="0" r="0" b="0"/>
            <wp:docPr id="1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951">
        <w:rPr>
          <w:rFonts w:ascii="標楷體" w:eastAsia="標楷體" w:hAnsi="標楷體" w:cs="Arial"/>
          <w:noProof/>
          <w:kern w:val="0"/>
          <w:sz w:val="20"/>
          <w:szCs w:val="20"/>
          <w14:ligatures w14:val="none"/>
        </w:rPr>
        <w:drawing>
          <wp:inline distT="0" distB="0" distL="0" distR="0" wp14:anchorId="69885DDD" wp14:editId="2F85C878">
            <wp:extent cx="191135" cy="191135"/>
            <wp:effectExtent l="0" t="0" r="0" b="0"/>
            <wp:docPr id="2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951">
        <w:rPr>
          <w:rFonts w:ascii="標楷體" w:eastAsia="標楷體" w:hAnsi="標楷體" w:cs="Arial"/>
          <w:noProof/>
          <w:kern w:val="0"/>
          <w:sz w:val="20"/>
          <w:szCs w:val="20"/>
          <w14:ligatures w14:val="none"/>
        </w:rPr>
        <w:drawing>
          <wp:inline distT="0" distB="0" distL="0" distR="0" wp14:anchorId="3A686DA0" wp14:editId="53425848">
            <wp:extent cx="191135" cy="191135"/>
            <wp:effectExtent l="0" t="0" r="0" b="0"/>
            <wp:docPr id="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6F8BD" w14:textId="77777777" w:rsidR="004F2951" w:rsidRPr="004F2951" w:rsidRDefault="004F2951" w:rsidP="004F2951">
      <w:pPr>
        <w:widowControl/>
        <w:spacing w:after="0" w:line="240" w:lineRule="auto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b/>
          <w:bCs/>
          <w:kern w:val="0"/>
          <w:sz w:val="21"/>
          <w:szCs w:val="21"/>
          <w14:ligatures w14:val="none"/>
        </w:rPr>
        <w:t>7 個網站</w:t>
      </w:r>
    </w:p>
    <w:p w14:paraId="3C916E76" w14:textId="77777777" w:rsidR="004F2951" w:rsidRPr="004F2951" w:rsidRDefault="004F2951" w:rsidP="004F2951">
      <w:pPr>
        <w:widowControl/>
        <w:numPr>
          <w:ilvl w:val="0"/>
          <w:numId w:val="3"/>
        </w:numPr>
        <w:spacing w:after="0" w:line="240" w:lineRule="auto"/>
        <w:rPr>
          <w:rFonts w:ascii="標楷體" w:eastAsia="標楷體" w:hAnsi="標楷體" w:cs="Arial"/>
          <w:b/>
          <w:bCs/>
          <w:kern w:val="0"/>
          <w:sz w:val="21"/>
          <w:szCs w:val="21"/>
          <w14:ligatures w14:val="none"/>
        </w:rPr>
      </w:pPr>
      <w:r w:rsidRPr="004F2951">
        <w:rPr>
          <w:rFonts w:ascii="標楷體" w:eastAsia="標楷體" w:hAnsi="標楷體" w:cs="Arial"/>
          <w:b/>
          <w:bCs/>
          <w:kern w:val="0"/>
          <w:sz w:val="21"/>
          <w:szCs w:val="21"/>
          <w14:ligatures w14:val="none"/>
        </w:rPr>
        <w:t>贏了官司能反告精神賠償嗎？律師解析訴訟權保障與惡意濫訴的 ...</w:t>
      </w:r>
    </w:p>
    <w:p w14:paraId="32476BD3" w14:textId="77777777" w:rsidR="004F2951" w:rsidRPr="004F2951" w:rsidRDefault="004F2951" w:rsidP="004F2951">
      <w:pPr>
        <w:widowControl/>
        <w:spacing w:after="0" w:line="240" w:lineRule="auto"/>
        <w:ind w:left="720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kern w:val="0"/>
          <w:sz w:val="18"/>
          <w:szCs w:val="18"/>
          <w14:ligatures w14:val="none"/>
        </w:rPr>
        <w:t>2025年10月24日 — 打贏官司後，很多人想反告對方精神賠償——但法院設了極高門檻。律師解析憲法第16 條訴訟權保障為何讓反告難以成立、惡意濫訴三要件缺一不可、刑法第169 ...</w:t>
      </w:r>
    </w:p>
    <w:p w14:paraId="79005803" w14:textId="77777777" w:rsidR="004F2951" w:rsidRPr="004F2951" w:rsidRDefault="004F2951" w:rsidP="004F2951">
      <w:pPr>
        <w:widowControl/>
        <w:spacing w:after="0" w:line="240" w:lineRule="auto"/>
        <w:ind w:left="720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noProof/>
          <w:kern w:val="0"/>
          <w14:ligatures w14:val="none"/>
        </w:rPr>
        <w:drawing>
          <wp:inline distT="0" distB="0" distL="0" distR="0" wp14:anchorId="3341B519" wp14:editId="7ACD4BFB">
            <wp:extent cx="149860" cy="149860"/>
            <wp:effectExtent l="0" t="0" r="2540" b="254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D6D8B" w14:textId="77777777" w:rsidR="004F2951" w:rsidRPr="004F2951" w:rsidRDefault="004F2951" w:rsidP="004F2951">
      <w:pPr>
        <w:widowControl/>
        <w:spacing w:after="0" w:line="240" w:lineRule="auto"/>
        <w:ind w:left="720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kern w:val="0"/>
          <w:sz w:val="18"/>
          <w:szCs w:val="18"/>
          <w14:ligatures w14:val="none"/>
        </w:rPr>
        <w:t>亮遠法律事務所</w:t>
      </w:r>
    </w:p>
    <w:p w14:paraId="58A02A1D" w14:textId="77777777" w:rsidR="004F2951" w:rsidRPr="004F2951" w:rsidRDefault="004F2951" w:rsidP="004F2951">
      <w:pPr>
        <w:widowControl/>
        <w:numPr>
          <w:ilvl w:val="0"/>
          <w:numId w:val="3"/>
        </w:numPr>
        <w:spacing w:after="0" w:line="240" w:lineRule="auto"/>
        <w:rPr>
          <w:rFonts w:ascii="標楷體" w:eastAsia="標楷體" w:hAnsi="標楷體" w:cs="Arial"/>
          <w:b/>
          <w:bCs/>
          <w:kern w:val="0"/>
          <w:sz w:val="21"/>
          <w:szCs w:val="21"/>
          <w14:ligatures w14:val="none"/>
        </w:rPr>
      </w:pPr>
      <w:r w:rsidRPr="004F2951">
        <w:rPr>
          <w:rFonts w:ascii="標楷體" w:eastAsia="標楷體" w:hAnsi="標楷體" w:cs="Arial"/>
          <w:b/>
          <w:bCs/>
          <w:kern w:val="0"/>
          <w:sz w:val="21"/>
          <w:szCs w:val="21"/>
          <w14:ligatures w14:val="none"/>
        </w:rPr>
        <w:t>在台灣亂告人不會被罰？為何「誣告罪」形同虛設</w:t>
      </w:r>
    </w:p>
    <w:p w14:paraId="137C725B" w14:textId="77777777" w:rsidR="004F2951" w:rsidRPr="004F2951" w:rsidRDefault="004F2951" w:rsidP="004F2951">
      <w:pPr>
        <w:widowControl/>
        <w:spacing w:after="0" w:line="240" w:lineRule="auto"/>
        <w:ind w:left="720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kern w:val="0"/>
          <w:sz w:val="18"/>
          <w:szCs w:val="18"/>
          <w14:ligatures w14:val="none"/>
        </w:rPr>
        <w:lastRenderedPageBreak/>
        <w:t>2022年10月26日 — 根據統計資料，偽證誣告罪章的起訴率不到二成，相較這十年來整體大概五成的起訴率，可說相當得低，一審判刑機率約七成也遠低於整體案件的九成到九成五。且誣告偽證罪章的案件數量還逐年減少，十年來從每年五千多件降低到不到四千件，和整體案件逐年增加的趨勢，十年來從不到四十萬...</w:t>
      </w:r>
    </w:p>
    <w:p w14:paraId="283BBC0A" w14:textId="77777777" w:rsidR="004F2951" w:rsidRPr="004F2951" w:rsidRDefault="004F2951" w:rsidP="004F2951">
      <w:pPr>
        <w:widowControl/>
        <w:spacing w:after="0" w:line="240" w:lineRule="auto"/>
        <w:ind w:left="720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noProof/>
          <w:kern w:val="0"/>
          <w14:ligatures w14:val="none"/>
        </w:rPr>
        <w:drawing>
          <wp:inline distT="0" distB="0" distL="0" distR="0" wp14:anchorId="30E8DC76" wp14:editId="705E7381">
            <wp:extent cx="781685" cy="781685"/>
            <wp:effectExtent l="0" t="0" r="0" b="0"/>
            <wp:docPr id="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9A134" w14:textId="77777777" w:rsidR="004F2951" w:rsidRPr="004F2951" w:rsidRDefault="004F2951" w:rsidP="004F2951">
      <w:pPr>
        <w:widowControl/>
        <w:spacing w:after="0" w:line="240" w:lineRule="auto"/>
        <w:ind w:left="720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noProof/>
          <w:kern w:val="0"/>
          <w14:ligatures w14:val="none"/>
        </w:rPr>
        <w:drawing>
          <wp:inline distT="0" distB="0" distL="0" distR="0" wp14:anchorId="7282177E" wp14:editId="03CC31E4">
            <wp:extent cx="149860" cy="149860"/>
            <wp:effectExtent l="0" t="0" r="2540" b="2540"/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A0C01" w14:textId="77777777" w:rsidR="004F2951" w:rsidRPr="004F2951" w:rsidRDefault="004F2951" w:rsidP="004F2951">
      <w:pPr>
        <w:widowControl/>
        <w:spacing w:after="0" w:line="240" w:lineRule="auto"/>
        <w:ind w:left="720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kern w:val="0"/>
          <w:sz w:val="18"/>
          <w:szCs w:val="18"/>
          <w14:ligatures w14:val="none"/>
        </w:rPr>
        <w:t>鳴人堂</w:t>
      </w:r>
    </w:p>
    <w:p w14:paraId="24CB3A1D" w14:textId="77777777" w:rsidR="004F2951" w:rsidRPr="004F2951" w:rsidRDefault="004F2951" w:rsidP="004F2951">
      <w:pPr>
        <w:widowControl/>
        <w:numPr>
          <w:ilvl w:val="0"/>
          <w:numId w:val="3"/>
        </w:numPr>
        <w:spacing w:after="0" w:line="240" w:lineRule="auto"/>
        <w:rPr>
          <w:rFonts w:ascii="標楷體" w:eastAsia="標楷體" w:hAnsi="標楷體" w:cs="Arial"/>
          <w:b/>
          <w:bCs/>
          <w:kern w:val="0"/>
          <w:sz w:val="21"/>
          <w:szCs w:val="21"/>
          <w14:ligatures w14:val="none"/>
        </w:rPr>
      </w:pPr>
      <w:r w:rsidRPr="004F2951">
        <w:rPr>
          <w:rFonts w:ascii="標楷體" w:eastAsia="標楷體" w:hAnsi="標楷體" w:cs="Arial"/>
          <w:b/>
          <w:bCs/>
          <w:kern w:val="0"/>
          <w:sz w:val="21"/>
          <w:szCs w:val="21"/>
          <w14:ligatures w14:val="none"/>
        </w:rPr>
        <w:t>一三、近年各地方法院民事事件新收及未結件數呈持續增加趨勢 ...</w:t>
      </w:r>
    </w:p>
    <w:p w14:paraId="23812368" w14:textId="77777777" w:rsidR="004F2951" w:rsidRPr="004F2951" w:rsidRDefault="004F2951" w:rsidP="004F2951">
      <w:pPr>
        <w:widowControl/>
        <w:spacing w:after="0" w:line="240" w:lineRule="auto"/>
        <w:ind w:left="720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kern w:val="0"/>
          <w:sz w:val="18"/>
          <w:szCs w:val="18"/>
          <w14:ligatures w14:val="none"/>
        </w:rPr>
        <w:t>如前所述，民事訴訟法於110年修正，增訂處罰條款，對基於惡意、不當目的提告者，法院可對原告、法定代理人、訴訟代理人處12萬元以下罰鍰，訴訟相關費用由濫訴者負擔。惟新制上路後，據統計，自110年3月起至112年7月止，各地方法院以「起訴基於惡意、不當目的或有重大...</w:t>
      </w:r>
    </w:p>
    <w:p w14:paraId="2C382174" w14:textId="77777777" w:rsidR="004F2951" w:rsidRPr="004F2951" w:rsidRDefault="004F2951" w:rsidP="004F2951">
      <w:pPr>
        <w:widowControl/>
        <w:spacing w:after="0" w:line="240" w:lineRule="auto"/>
        <w:ind w:left="720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noProof/>
          <w:kern w:val="0"/>
          <w14:ligatures w14:val="none"/>
        </w:rPr>
        <w:drawing>
          <wp:inline distT="0" distB="0" distL="0" distR="0" wp14:anchorId="4BA2A7B5" wp14:editId="3A08A737">
            <wp:extent cx="149860" cy="149860"/>
            <wp:effectExtent l="0" t="0" r="2540" b="2540"/>
            <wp:docPr id="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81C5C" w14:textId="77777777" w:rsidR="004F2951" w:rsidRPr="004F2951" w:rsidRDefault="004F2951" w:rsidP="004F2951">
      <w:pPr>
        <w:widowControl/>
        <w:spacing w:after="0" w:line="240" w:lineRule="auto"/>
        <w:ind w:left="720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kern w:val="0"/>
          <w:sz w:val="18"/>
          <w:szCs w:val="18"/>
          <w14:ligatures w14:val="none"/>
        </w:rPr>
        <w:t>立法院全球資訊網</w:t>
      </w:r>
    </w:p>
    <w:p w14:paraId="3514B842" w14:textId="77777777" w:rsidR="004F2951" w:rsidRPr="004F2951" w:rsidRDefault="004F2951" w:rsidP="004F2951">
      <w:pPr>
        <w:widowControl/>
        <w:spacing w:after="0" w:line="240" w:lineRule="auto"/>
        <w:rPr>
          <w:rFonts w:ascii="標楷體" w:eastAsia="標楷體" w:hAnsi="標楷體" w:cs="Arial"/>
          <w:kern w:val="0"/>
          <w14:ligatures w14:val="none"/>
        </w:rPr>
      </w:pPr>
      <w:r w:rsidRPr="004F2951">
        <w:rPr>
          <w:rFonts w:ascii="標楷體" w:eastAsia="標楷體" w:hAnsi="標楷體" w:cs="Arial"/>
          <w:kern w:val="0"/>
          <w:sz w:val="21"/>
          <w:szCs w:val="21"/>
          <w14:ligatures w14:val="none"/>
        </w:rPr>
        <w:t>顯示全部</w:t>
      </w:r>
    </w:p>
    <w:p w14:paraId="76ED96B7" w14:textId="77777777" w:rsidR="004F2951" w:rsidRPr="004F2951" w:rsidRDefault="004F2951" w:rsidP="004F2951">
      <w:pPr>
        <w:widowControl/>
        <w:spacing w:after="0" w:line="240" w:lineRule="auto"/>
        <w:rPr>
          <w:rFonts w:ascii="標楷體" w:eastAsia="標楷體" w:hAnsi="標楷體" w:cs="Arial"/>
          <w:b/>
          <w:bCs/>
          <w:kern w:val="0"/>
          <w:sz w:val="21"/>
          <w:szCs w:val="21"/>
          <w14:ligatures w14:val="none"/>
        </w:rPr>
      </w:pPr>
      <w:r w:rsidRPr="004F2951">
        <w:rPr>
          <w:rFonts w:ascii="標楷體" w:eastAsia="標楷體" w:hAnsi="標楷體" w:cs="Arial"/>
          <w:b/>
          <w:bCs/>
          <w:kern w:val="0"/>
          <w:sz w:val="21"/>
          <w:szCs w:val="21"/>
          <w14:ligatures w14:val="none"/>
        </w:rPr>
        <w:t xml:space="preserve">AI 回覆可能有誤。如需法律建議，請諮詢專業人士。 </w:t>
      </w:r>
      <w:hyperlink r:id="rId27" w:history="1">
        <w:r w:rsidRPr="004F2951">
          <w:rPr>
            <w:rFonts w:ascii="標楷體" w:eastAsia="標楷體" w:hAnsi="標楷體" w:cs="Arial"/>
            <w:b/>
            <w:bCs/>
            <w:color w:val="0000FF"/>
            <w:kern w:val="0"/>
            <w:sz w:val="21"/>
            <w:szCs w:val="21"/>
            <w:u w:val="single"/>
            <w14:ligatures w14:val="none"/>
          </w:rPr>
          <w:t>瞭解詳情</w:t>
        </w:r>
      </w:hyperlink>
    </w:p>
    <w:p w14:paraId="234DDBBA" w14:textId="77777777" w:rsidR="004F2951" w:rsidRPr="004F2951" w:rsidRDefault="004F2951">
      <w:pPr>
        <w:rPr>
          <w:rFonts w:ascii="標楷體" w:eastAsia="標楷體" w:hAnsi="標楷體" w:hint="eastAsia"/>
        </w:rPr>
      </w:pPr>
    </w:p>
    <w:sectPr w:rsidR="004F2951" w:rsidRPr="004F29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E67FF"/>
    <w:multiLevelType w:val="multilevel"/>
    <w:tmpl w:val="E440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F703E1"/>
    <w:multiLevelType w:val="multilevel"/>
    <w:tmpl w:val="EA9C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8C74A7"/>
    <w:multiLevelType w:val="multilevel"/>
    <w:tmpl w:val="C196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996709">
    <w:abstractNumId w:val="2"/>
  </w:num>
  <w:num w:numId="2" w16cid:durableId="215169231">
    <w:abstractNumId w:val="1"/>
  </w:num>
  <w:num w:numId="3" w16cid:durableId="130523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D4"/>
    <w:rsid w:val="001D6336"/>
    <w:rsid w:val="00373553"/>
    <w:rsid w:val="004F2951"/>
    <w:rsid w:val="00702B59"/>
    <w:rsid w:val="007411AA"/>
    <w:rsid w:val="00AA2603"/>
    <w:rsid w:val="00B853D4"/>
    <w:rsid w:val="00BD392F"/>
    <w:rsid w:val="00BE183A"/>
    <w:rsid w:val="00D46FFA"/>
    <w:rsid w:val="00D9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14C4B"/>
  <w15:chartTrackingRefBased/>
  <w15:docId w15:val="{CBE7D858-6360-4877-BDF4-F8D47F93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853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53D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53D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5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53D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53D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53D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53D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53D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5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53D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5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53D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53D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53D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53D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53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53D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5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53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53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5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53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53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53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5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53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53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y.gov.tw/Pages/Detail.aspx?nodeid=46424&amp;pid=232423" TargetMode="External"/><Relationship Id="rId13" Type="http://schemas.openxmlformats.org/officeDocument/2006/relationships/hyperlink" Target="https://www.laf.org.tw/edu-detail/71" TargetMode="External"/><Relationship Id="rId18" Type="http://schemas.openxmlformats.org/officeDocument/2006/relationships/hyperlink" Target="http://lylaw.tw/article-content.asp?ids=354" TargetMode="External"/><Relationship Id="rId26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7" Type="http://schemas.openxmlformats.org/officeDocument/2006/relationships/hyperlink" Target="http://lylaw.tw/article-content.asp?ids=354" TargetMode="External"/><Relationship Id="rId12" Type="http://schemas.openxmlformats.org/officeDocument/2006/relationships/hyperlink" Target="https://www.judicial.gov.tw/tw/cp-1454-1333779-903bd-1.html" TargetMode="External"/><Relationship Id="rId17" Type="http://schemas.openxmlformats.org/officeDocument/2006/relationships/hyperlink" Target="https://opinion.udn.com/opinion/story/11678/6715025" TargetMode="External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twlawbot.com/post/false-accusation-response-strategies" TargetMode="External"/><Relationship Id="rId20" Type="http://schemas.openxmlformats.org/officeDocument/2006/relationships/image" Target="media/image1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y.gov.tw/Pages/Detail.aspx?nodeid=46424&amp;pid=232423" TargetMode="External"/><Relationship Id="rId11" Type="http://schemas.openxmlformats.org/officeDocument/2006/relationships/hyperlink" Target="https://www.judicial.gov.tw/tw/cp-1454-1333779-903bd-1.html" TargetMode="External"/><Relationship Id="rId24" Type="http://schemas.openxmlformats.org/officeDocument/2006/relationships/image" Target="media/image5.png"/><Relationship Id="rId5" Type="http://schemas.openxmlformats.org/officeDocument/2006/relationships/hyperlink" Target="https://opinion.udn.com/opinion/story/11678/6715025" TargetMode="External"/><Relationship Id="rId15" Type="http://schemas.openxmlformats.org/officeDocument/2006/relationships/hyperlink" Target="https://opinion.udn.com/opinion/story/11678/6715025" TargetMode="External"/><Relationship Id="rId23" Type="http://schemas.openxmlformats.org/officeDocument/2006/relationships/image" Target="media/image4.png"/><Relationship Id="rId28" Type="http://schemas.openxmlformats.org/officeDocument/2006/relationships/fontTable" Target="fontTable.xml"/><Relationship Id="rId10" Type="http://schemas.openxmlformats.org/officeDocument/2006/relationships/hyperlink" Target="http://lawyer.get.com.tw/File/PDF/%E6%B3%95%E8%A7%80%E4%BA%BA/415855_%E9%98%B2%E6%AD%A2%E5%8F%B8%E6%B3%95%E6%BF%AB%E8%A8%B4.pdf" TargetMode="External"/><Relationship Id="rId19" Type="http://schemas.openxmlformats.org/officeDocument/2006/relationships/hyperlink" Target="https://www.ly.gov.tw/Pages/Detail.aspx?nodeid=46424&amp;pid=2324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f.org.tw/edu-detail/71" TargetMode="External"/><Relationship Id="rId14" Type="http://schemas.openxmlformats.org/officeDocument/2006/relationships/hyperlink" Target="https://twlawbot.com/post/false-accusation-response-strategies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support.google.com/websearch?p=ai_overview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0108許 連景</dc:creator>
  <cp:keywords/>
  <dc:description/>
  <cp:lastModifiedBy>0108許 連景</cp:lastModifiedBy>
  <cp:revision>2</cp:revision>
  <dcterms:created xsi:type="dcterms:W3CDTF">2026-06-23T17:09:00Z</dcterms:created>
  <dcterms:modified xsi:type="dcterms:W3CDTF">2026-06-23T17:09:00Z</dcterms:modified>
</cp:coreProperties>
</file>