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25" w:rsidRDefault="00343A25" w:rsidP="00641B9F">
      <w:pPr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6D225E" w:rsidRPr="00B76A54" w:rsidRDefault="00E95DFB" w:rsidP="006D225E">
      <w:pPr>
        <w:widowControl/>
        <w:shd w:val="clear" w:color="auto" w:fill="FFFFFF"/>
        <w:spacing w:line="440" w:lineRule="exact"/>
        <w:ind w:left="560" w:hangingChars="200" w:hanging="560"/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</w:pPr>
      <w:bookmarkStart w:id="0" w:name="_GoBack"/>
      <w:r>
        <w:rPr>
          <w:rFonts w:ascii="標楷體" w:eastAsia="標楷體" w:hAnsi="標楷體"/>
          <w:sz w:val="28"/>
          <w:szCs w:val="28"/>
        </w:rPr>
        <w:t>21150716-</w:t>
      </w:r>
      <w:r w:rsidR="00F7326A">
        <w:rPr>
          <w:rFonts w:ascii="標楷體" w:eastAsia="標楷體" w:hAnsi="標楷體" w:hint="eastAsia"/>
          <w:sz w:val="28"/>
          <w:szCs w:val="28"/>
        </w:rPr>
        <w:t>21000929-</w:t>
      </w:r>
      <w:r w:rsidR="00F7326A"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行為時無處罰規定而於嗣後方增訂行政罰之行為</w:t>
      </w:r>
      <w:bookmarkEnd w:id="0"/>
      <w:r w:rsidR="00F7326A"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，倘該行為於法規修正前已終了，屬違法狀態之繼續而無從適用罰則，惟主管機關仍得要求行為人限期改善；如該行為於法規修正公布後仍繼續，即應適用該行政罰規定予以處罰</w:t>
      </w:r>
      <w:r w:rsidR="006D225E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-</w:t>
      </w:r>
      <w:r w:rsidR="006D225E"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100</w:t>
      </w:r>
      <w:r w:rsidR="006D225E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-</w:t>
      </w:r>
      <w:r w:rsidR="006D225E"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09</w:t>
      </w:r>
      <w:r w:rsidR="006D225E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-</w:t>
      </w:r>
      <w:r w:rsidR="006D225E"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29 台內營字第1000808089號函</w:t>
      </w:r>
    </w:p>
    <w:p w:rsidR="00F7326A" w:rsidRPr="00B76A54" w:rsidRDefault="00F7326A" w:rsidP="00F732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00" w:left="480"/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</w:pPr>
    </w:p>
    <w:p w:rsidR="00F7326A" w:rsidRPr="00F7326A" w:rsidRDefault="00F7326A" w:rsidP="00641B9F">
      <w:pPr>
        <w:spacing w:line="440" w:lineRule="exact"/>
        <w:ind w:left="560" w:hangingChars="200" w:hanging="560"/>
        <w:rPr>
          <w:rFonts w:ascii="標楷體" w:eastAsia="標楷體" w:hAnsi="標楷體" w:hint="eastAsia"/>
          <w:sz w:val="28"/>
          <w:szCs w:val="28"/>
        </w:rPr>
      </w:pPr>
    </w:p>
    <w:p w:rsidR="00B76A54" w:rsidRPr="00B76A54" w:rsidRDefault="00B76A54" w:rsidP="00641B9F">
      <w:pPr>
        <w:widowControl/>
        <w:shd w:val="clear" w:color="auto" w:fill="FFFFFF"/>
        <w:spacing w:line="440" w:lineRule="exact"/>
        <w:ind w:left="560" w:hangingChars="200" w:hanging="560"/>
        <w:jc w:val="right"/>
        <w:rPr>
          <w:rFonts w:ascii="標楷體" w:eastAsia="標楷體" w:hAnsi="標楷體" w:cs="新細明體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發文字號：</w:t>
      </w:r>
    </w:p>
    <w:p w:rsidR="00B76A54" w:rsidRPr="00B76A54" w:rsidRDefault="00B76A54" w:rsidP="00641B9F">
      <w:pPr>
        <w:widowControl/>
        <w:shd w:val="clear" w:color="auto" w:fill="FFFFFF"/>
        <w:spacing w:line="440" w:lineRule="exact"/>
        <w:ind w:left="560" w:hangingChars="200" w:hanging="560"/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內政部 100.09.29 台內營字第1000808089號函</w:t>
      </w:r>
    </w:p>
    <w:p w:rsidR="00B76A54" w:rsidRPr="00B76A54" w:rsidRDefault="00B76A54" w:rsidP="00641B9F">
      <w:pPr>
        <w:widowControl/>
        <w:shd w:val="clear" w:color="auto" w:fill="FFFFFF"/>
        <w:spacing w:line="440" w:lineRule="exact"/>
        <w:ind w:left="560" w:hangingChars="200" w:hanging="560"/>
        <w:jc w:val="right"/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發文日期：</w:t>
      </w:r>
    </w:p>
    <w:p w:rsidR="00B76A54" w:rsidRPr="00B76A54" w:rsidRDefault="00B76A54" w:rsidP="00F7326A">
      <w:pPr>
        <w:widowControl/>
        <w:shd w:val="clear" w:color="auto" w:fill="FFFFFF"/>
        <w:spacing w:line="440" w:lineRule="exact"/>
        <w:ind w:leftChars="100" w:left="520" w:hangingChars="100" w:hanging="280"/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民國 100 年 09 月 29 日</w:t>
      </w:r>
    </w:p>
    <w:p w:rsidR="00B76A54" w:rsidRPr="00B76A54" w:rsidRDefault="00B76A54" w:rsidP="00641B9F">
      <w:pPr>
        <w:widowControl/>
        <w:shd w:val="clear" w:color="auto" w:fill="FFFFFF"/>
        <w:spacing w:line="440" w:lineRule="exact"/>
        <w:ind w:left="560" w:hangingChars="200" w:hanging="560"/>
        <w:jc w:val="right"/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新細明體" w:hint="eastAsia"/>
          <w:color w:val="212529"/>
          <w:kern w:val="0"/>
          <w:sz w:val="28"/>
          <w:szCs w:val="28"/>
        </w:rPr>
        <w:t>要　　旨：</w:t>
      </w:r>
    </w:p>
    <w:p w:rsidR="00B76A54" w:rsidRPr="00B76A54" w:rsidRDefault="00B76A54" w:rsidP="00F732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00" w:left="480"/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行為時無處罰規定而於嗣後方增訂行政罰之行為，倘該行為於法規修正前已終了，屬違法狀態之繼續而無從適用罰則，惟主管機關仍得要求行為人限期改善；如該行為於法規修正公布後仍繼續，即應適用該行政罰規定予以處罰</w:t>
      </w:r>
    </w:p>
    <w:p w:rsidR="00B76A54" w:rsidRPr="00B76A54" w:rsidRDefault="00B76A54" w:rsidP="00641B9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60" w:hangingChars="200" w:hanging="560"/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全文內容：關於雲林縣鎮○宮申請非都市土地變更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編定涉區域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計畫法 89 年 1  月26  日修正公布前後及行政罰法法令疑義案</w:t>
      </w:r>
    </w:p>
    <w:p w:rsidR="00D141DC" w:rsidRPr="00641B9F" w:rsidRDefault="00B76A54" w:rsidP="00641B9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60" w:hangingChars="200" w:hanging="560"/>
        <w:rPr>
          <w:rFonts w:ascii="標楷體" w:eastAsia="標楷體" w:hAnsi="標楷體" w:cs="細明體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一、本案申請變更編定土地於區域計畫法 89 年 1  月 26 日修正公布前即已違反土地使用管制規定至今，是否適用行政罰法第 5  條規定，依 89 年 1  月 26 日修正公布前之區域計畫法第 21 條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規定免處罰鍰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乙節，經本部函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詢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法務部以前開書函意見略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以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：「行政罰法第 5  條規定：『</w:t>
      </w:r>
      <w:r w:rsidRPr="00B76A54">
        <w:rPr>
          <w:rFonts w:ascii="標楷體" w:eastAsia="標楷體" w:hAnsi="標楷體" w:cs="細明體" w:hint="eastAsia"/>
          <w:b/>
          <w:color w:val="212529"/>
          <w:kern w:val="0"/>
          <w:sz w:val="28"/>
          <w:szCs w:val="28"/>
        </w:rPr>
        <w:t>行為後法律或自治條例有變更者，適用行政機關最初裁處時之法律或自治條例。但裁處前之法律或自治條例有利於受處罰者，適用最有利於受處罰者之規定。』揭示『從新從輕原則』之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適用，必須符合：（一）違反行政法上義務之行為，依行為時之法律或自治條例應處行政罰；（二）行為後至最初裁處時，其違反之法律或自治條例有變更。如前所述，『區域計畫法』於 89 年 1  月 26 日修正施行前，違反該法第 15 條之行為，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同法第 21 條並無處罰之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lastRenderedPageBreak/>
        <w:t>規定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，雖修正後第 21 條第 1  項增訂處以行政罰鍰之規定，因『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行為時』無處罰規定，故與『從新從輕原則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』所定情形不同」，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先予敘明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。</w:t>
      </w:r>
    </w:p>
    <w:p w:rsidR="00641B9F" w:rsidRPr="00641B9F" w:rsidRDefault="00B76A54" w:rsidP="00641B9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60" w:hangingChars="200" w:hanging="560"/>
        <w:rPr>
          <w:rFonts w:ascii="標楷體" w:eastAsia="標楷體" w:hAnsi="標楷體" w:cs="細明體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二、又申請人違反土地使用管制之行為與其後狀態之存續，其裁處權時效是否以申請變更編定之日（即知其有違反土地使用管制行為之日）起算，或應從何時點起算及有無因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罹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於時效而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失權乙節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，亦經本部函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詢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法務部以前開書函意見略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以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：「按『行政罰法』第 27 條第 1  項及第 2  項規定：『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行政罰之裁處權，因三年期間之經過而消滅。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（第1 項）前項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期間，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自違反行政法上義務之行為終了時起算。但行為之結果發生在後者，自該結果發生時起算。（第 2  項）』同法第 45</w:t>
      </w:r>
      <w:r w:rsidR="00641B9F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          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條規定：『本法施行前違反行政法上義務之行為應受處罰而未經裁處，於本法施行後裁處者，除第十五條、第十六條、第十八條第二項、第二十條及第二十二條規定外，均適用之。（第 1  項）前項行政罰之裁處權時效，自本法施行之日起算。（第 2  項）』是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以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，行政罰之裁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罰權起算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時點，依行為人違反行政法上義務之行為，究屬行為之繼續或狀態之繼續而定。行為之繼續，指以持續之行為時間一次實現違反行政法上義務構成要件行為，行為之時間持續且在持續之時間內並未有重大改變，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其時效於行為終了時起算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；狀態之繼續，係指行為              完成構成要件後，繼續維持其事實上效果，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故於行為完成時起算時效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。又行政罰法施行（</w:t>
      </w:r>
      <w:r w:rsidR="00F7326A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95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年</w:t>
      </w:r>
      <w:r w:rsidR="00F7326A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2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月 5  日）前違反行政法上義務行為業已終了，其行為應受處罰而未受處罰者，</w:t>
      </w:r>
      <w:r w:rsidRPr="00B76A54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其 3  年之裁處權時效自行政罰法施行之日起算，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如法律另特別規定裁處時效者，則依規定計算時間，不適用行政罰法第 45 條第 2  項規定（本部 96 年 6  月</w:t>
      </w:r>
      <w:r w:rsidR="00641B9F" w:rsidRPr="00641B9F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21  日法律字第 960015313  號函、98  年 4  月 30 日法律字第 0980014325 號函參照）。 」</w:t>
      </w:r>
    </w:p>
    <w:p w:rsidR="00641B9F" w:rsidRPr="00641B9F" w:rsidRDefault="00B76A54" w:rsidP="00641B9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60" w:hangingChars="200" w:hanging="560"/>
        <w:rPr>
          <w:rFonts w:ascii="標楷體" w:eastAsia="標楷體" w:hAnsi="標楷體" w:cs="細明體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三、故本案參照前開法務部函示意旨，應視違反行政法上義務行為之態樣，據以認定其裁處權時效之起算時點，而分別有下列二種裁處方式：（一）本件違反本法第 15 條之行為，如於 89 年 1  月 26 日區域計畫</w:t>
      </w:r>
      <w:r w:rsidR="00641B9F" w:rsidRPr="00641B9F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法修正施行前已終了，而僅屬違法狀態之繼續，因該法修正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施行前第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21 條規定並無裁處行政罰之明文，依行政罰法第 4  條處罰法定原則，自無從依修正後之區域計畫法第 21 條第 1  項規定處以罰鍰。然對於該違法狀態，貴府仍得依 89 年 1  月 26 日修正公                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布後之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區域計畫法第 21 條第 1  項及第 2  項規定，限期令其變更使用、停止使用或拆除其地上物恢復原狀，如義務人對於貴府限期令其變更使用、停止使用或拆除其地上物恢復原狀之處分不遵從者，因係違反貴府依法律所課予限期改善之義務，貴府可以其違反前述義務而按次處罰，此則屬行政罰性質，其裁處權時效自義務人逾期不履行上述命改善期限終了時起算。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惟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如上開期限終了時係於行政罰法施行前，且該行為於行政罰法施行後始為裁處者，其裁處權時效，自應自行政罰法施行之日起算。          </w:t>
      </w:r>
    </w:p>
    <w:p w:rsidR="00641B9F" w:rsidRPr="00641B9F" w:rsidRDefault="00B76A54" w:rsidP="00641B9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60" w:hangingChars="200" w:hanging="560"/>
        <w:rPr>
          <w:rFonts w:ascii="標楷體" w:eastAsia="標楷體" w:hAnsi="標楷體" w:cs="細明體"/>
          <w:color w:val="212529"/>
          <w:kern w:val="0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（二）本件違反區域計畫法第 15 條之行為，如於 89 年 1  月 26 日區域計畫法修正公布後仍繼續，則自應適用其行為終了時之區域計畫法之規定予以處罰。換言之，貴府仍應依該法第 21 條第</w:t>
      </w:r>
      <w:r w:rsidR="00F7326A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1 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項規定處罰鍰，並得依第 21 條第</w:t>
      </w:r>
      <w:r w:rsidR="00F7326A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1</w:t>
      </w: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項後段規定限期令其變更使用、停止使用或拆除其地上物恢復原狀；至有無逾越裁處權時效及其後續處理，仍請參照前開法務部函示意旨。        </w:t>
      </w:r>
    </w:p>
    <w:p w:rsidR="00B76A54" w:rsidRPr="00641B9F" w:rsidRDefault="00B76A54" w:rsidP="00641B9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60" w:hangingChars="200" w:hanging="560"/>
        <w:rPr>
          <w:rFonts w:ascii="標楷體" w:eastAsia="標楷體" w:hAnsi="標楷體" w:hint="eastAsia"/>
          <w:sz w:val="28"/>
          <w:szCs w:val="28"/>
        </w:rPr>
      </w:pPr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 xml:space="preserve">  四、而本案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經電洽貴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府承辦人表示，貴縣鎮○</w:t>
      </w:r>
      <w:proofErr w:type="gramStart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宮違返</w:t>
      </w:r>
      <w:proofErr w:type="gramEnd"/>
      <w:r w:rsidRPr="00B76A54">
        <w:rPr>
          <w:rFonts w:ascii="標楷體" w:eastAsia="標楷體" w:hAnsi="標楷體" w:cs="細明體" w:hint="eastAsia"/>
          <w:color w:val="212529"/>
          <w:kern w:val="0"/>
          <w:sz w:val="28"/>
          <w:szCs w:val="28"/>
        </w:rPr>
        <w:t>土地使用管制行為，係 89 年 1  月 26 日修正區域計畫法第 21 條規定前之事實，法律修正後並未再有該違法行為，故本案應屬違法狀態之繼續，而應依前開說明四（一）之裁處方式辦理。</w:t>
      </w:r>
    </w:p>
    <w:sectPr w:rsidR="00B76A54" w:rsidRPr="00641B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AC"/>
    <w:rsid w:val="002E66AC"/>
    <w:rsid w:val="00343A25"/>
    <w:rsid w:val="00641B9F"/>
    <w:rsid w:val="006C21FA"/>
    <w:rsid w:val="006D225E"/>
    <w:rsid w:val="00B76A54"/>
    <w:rsid w:val="00D141DC"/>
    <w:rsid w:val="00DC4FF6"/>
    <w:rsid w:val="00E95DFB"/>
    <w:rsid w:val="00F453C1"/>
    <w:rsid w:val="00F7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E157C"/>
  <w15:chartTrackingRefBased/>
  <w15:docId w15:val="{67B13B74-16E9-4A2F-A186-D6E2CAB3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2026-07-16T07:17:00Z</dcterms:created>
  <dcterms:modified xsi:type="dcterms:W3CDTF">2026-07-16T07:17:00Z</dcterms:modified>
</cp:coreProperties>
</file>