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D1E7A" w14:textId="77777777" w:rsidR="007D7BDC" w:rsidRDefault="007D7BDC" w:rsidP="00C24356">
      <w:pPr>
        <w:spacing w:line="440" w:lineRule="exact"/>
        <w:ind w:left="480" w:hangingChars="200" w:hanging="480"/>
        <w:rPr>
          <w:rFonts w:ascii="標楷體" w:eastAsia="標楷體" w:hAnsi="標楷體"/>
        </w:rPr>
      </w:pPr>
    </w:p>
    <w:p w14:paraId="46667CED" w14:textId="309CE634" w:rsidR="00343A25" w:rsidRPr="005D1377" w:rsidRDefault="007D7BDC" w:rsidP="00C24356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331021021-</w:t>
      </w:r>
      <w:r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有關信託契約以自益信託委託人死亡為消滅事由，並就委託人死亡後剩餘信託財產另行指定歸屬權利人，是否有涉遺囑行為乙案</w:t>
      </w:r>
      <w:r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-</w:t>
      </w:r>
      <w:hyperlink r:id="rId7" w:history="1"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信託法第 2、</w:t>
        </w:r>
        <w:r w:rsidRPr="007D7BDC">
          <w:rPr>
            <w:rFonts w:ascii="標楷體" w:eastAsia="標楷體" w:hAnsi="標楷體" w:cs="新細明體"/>
            <w:color w:val="0066CC"/>
            <w:kern w:val="0"/>
            <w:sz w:val="27"/>
            <w:szCs w:val="27"/>
            <w:u w:val="single"/>
          </w:rPr>
          <w:t>信託法</w:t>
        </w:r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62、</w:t>
        </w:r>
        <w:r w:rsidRPr="007D7BDC">
          <w:rPr>
            <w:rFonts w:ascii="標楷體" w:eastAsia="標楷體" w:hAnsi="標楷體" w:cs="新細明體"/>
            <w:color w:val="0066CC"/>
            <w:kern w:val="0"/>
            <w:sz w:val="27"/>
            <w:szCs w:val="27"/>
            <w:u w:val="single"/>
          </w:rPr>
          <w:t>信託法</w:t>
        </w:r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65 條</w:t>
        </w:r>
      </w:hyperlink>
    </w:p>
    <w:p w14:paraId="64D37C84" w14:textId="77777777" w:rsidR="00EC3A1D" w:rsidRPr="00EC3A1D" w:rsidRDefault="00EC3A1D" w:rsidP="00C24356">
      <w:pPr>
        <w:widowControl/>
        <w:shd w:val="clear" w:color="auto" w:fill="F5F5F5"/>
        <w:spacing w:line="440" w:lineRule="exact"/>
        <w:ind w:left="540" w:hangingChars="200" w:hanging="540"/>
        <w:jc w:val="right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發文單位：</w:t>
      </w:r>
    </w:p>
    <w:p w14:paraId="205CCDCA" w14:textId="77777777" w:rsidR="00EC3A1D" w:rsidRPr="00EC3A1D" w:rsidRDefault="00EC3A1D" w:rsidP="00C24356">
      <w:pPr>
        <w:widowControl/>
        <w:spacing w:line="440" w:lineRule="exact"/>
        <w:ind w:left="540" w:hangingChars="200" w:hanging="540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法務部</w:t>
      </w:r>
    </w:p>
    <w:p w14:paraId="234F7F33" w14:textId="77777777" w:rsidR="00EC3A1D" w:rsidRPr="00EC3A1D" w:rsidRDefault="00EC3A1D" w:rsidP="00C24356">
      <w:pPr>
        <w:widowControl/>
        <w:shd w:val="clear" w:color="auto" w:fill="F5F5F5"/>
        <w:spacing w:line="440" w:lineRule="exact"/>
        <w:ind w:left="540" w:hangingChars="200" w:hanging="540"/>
        <w:jc w:val="right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發文字號：</w:t>
      </w:r>
    </w:p>
    <w:p w14:paraId="3BCF7F93" w14:textId="77777777" w:rsidR="00EC3A1D" w:rsidRPr="00EC3A1D" w:rsidRDefault="00EC3A1D" w:rsidP="00C24356">
      <w:pPr>
        <w:widowControl/>
        <w:spacing w:line="440" w:lineRule="exact"/>
        <w:ind w:left="540" w:hangingChars="200" w:hanging="540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法律字第 10203511570 號</w:t>
      </w:r>
    </w:p>
    <w:p w14:paraId="225DFF26" w14:textId="77777777" w:rsidR="00EC3A1D" w:rsidRPr="00EC3A1D" w:rsidRDefault="00EC3A1D" w:rsidP="00C24356">
      <w:pPr>
        <w:widowControl/>
        <w:shd w:val="clear" w:color="auto" w:fill="F5F5F5"/>
        <w:spacing w:line="440" w:lineRule="exact"/>
        <w:ind w:left="540" w:hangingChars="200" w:hanging="540"/>
        <w:jc w:val="right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發文日期：</w:t>
      </w:r>
    </w:p>
    <w:p w14:paraId="0B1218FE" w14:textId="77777777" w:rsidR="00EC3A1D" w:rsidRPr="00EC3A1D" w:rsidRDefault="00EC3A1D" w:rsidP="00C24356">
      <w:pPr>
        <w:widowControl/>
        <w:spacing w:line="440" w:lineRule="exact"/>
        <w:ind w:left="540" w:hangingChars="200" w:hanging="540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民國 102 年 10 月 21 日</w:t>
      </w:r>
    </w:p>
    <w:p w14:paraId="505586FD" w14:textId="77777777" w:rsidR="00EC3A1D" w:rsidRPr="00EC3A1D" w:rsidRDefault="00EC3A1D" w:rsidP="00C24356">
      <w:pPr>
        <w:widowControl/>
        <w:shd w:val="clear" w:color="auto" w:fill="F5F5F5"/>
        <w:spacing w:line="440" w:lineRule="exact"/>
        <w:ind w:left="480" w:hangingChars="200" w:hanging="480"/>
        <w:jc w:val="right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hyperlink r:id="rId8" w:history="1"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相關法條</w:t>
        </w:r>
      </w:hyperlink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：</w:t>
      </w:r>
    </w:p>
    <w:p w14:paraId="7C287305" w14:textId="77777777" w:rsidR="00EC3A1D" w:rsidRPr="00EC3A1D" w:rsidRDefault="00EC3A1D" w:rsidP="00C24356">
      <w:pPr>
        <w:widowControl/>
        <w:numPr>
          <w:ilvl w:val="0"/>
          <w:numId w:val="1"/>
        </w:numPr>
        <w:spacing w:line="440" w:lineRule="exact"/>
        <w:ind w:left="480" w:hangingChars="200" w:hanging="480"/>
        <w:textAlignment w:val="bottom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hyperlink r:id="rId9" w:history="1"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民法 第 14、76、1101、1112、1113、1186、1189 條</w:t>
        </w:r>
      </w:hyperlink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(101.12.26)</w:t>
      </w:r>
    </w:p>
    <w:p w14:paraId="36D18239" w14:textId="400C93C1" w:rsidR="00EC3A1D" w:rsidRPr="005D1377" w:rsidRDefault="00EC3A1D" w:rsidP="00C24356">
      <w:pPr>
        <w:widowControl/>
        <w:numPr>
          <w:ilvl w:val="0"/>
          <w:numId w:val="1"/>
        </w:numPr>
        <w:spacing w:line="440" w:lineRule="exact"/>
        <w:ind w:left="480" w:hangingChars="200" w:hanging="480"/>
        <w:textAlignment w:val="bottom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hyperlink r:id="rId10" w:history="1"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信託法第 2、</w:t>
        </w:r>
        <w:r w:rsidR="007D7BDC" w:rsidRPr="007D7BDC">
          <w:rPr>
            <w:rFonts w:ascii="標楷體" w:eastAsia="標楷體" w:hAnsi="標楷體" w:cs="新細明體"/>
            <w:color w:val="0066CC"/>
            <w:kern w:val="0"/>
            <w:sz w:val="27"/>
            <w:szCs w:val="27"/>
            <w:u w:val="single"/>
          </w:rPr>
          <w:t>信託法</w:t>
        </w:r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62、</w:t>
        </w:r>
        <w:r w:rsidR="007D7BDC" w:rsidRPr="007D7BDC">
          <w:rPr>
            <w:rFonts w:ascii="標楷體" w:eastAsia="標楷體" w:hAnsi="標楷體" w:cs="新細明體"/>
            <w:color w:val="0066CC"/>
            <w:kern w:val="0"/>
            <w:sz w:val="27"/>
            <w:szCs w:val="27"/>
            <w:u w:val="single"/>
          </w:rPr>
          <w:t>信託法</w:t>
        </w:r>
        <w:r w:rsidRPr="00EC3A1D">
          <w:rPr>
            <w:rFonts w:ascii="標楷體" w:eastAsia="標楷體" w:hAnsi="標楷體" w:cs="新細明體" w:hint="eastAsia"/>
            <w:color w:val="0066CC"/>
            <w:kern w:val="0"/>
            <w:sz w:val="27"/>
            <w:szCs w:val="27"/>
            <w:u w:val="single"/>
          </w:rPr>
          <w:t>65 條</w:t>
        </w:r>
      </w:hyperlink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(98.12.30)</w:t>
      </w:r>
    </w:p>
    <w:p w14:paraId="1E7DA4D8" w14:textId="77777777" w:rsidR="00EC3A1D" w:rsidRPr="00EC3A1D" w:rsidRDefault="00EC3A1D" w:rsidP="00C24356">
      <w:pPr>
        <w:widowControl/>
        <w:numPr>
          <w:ilvl w:val="0"/>
          <w:numId w:val="1"/>
        </w:numPr>
        <w:spacing w:line="440" w:lineRule="exact"/>
        <w:ind w:left="540" w:hangingChars="200" w:hanging="540"/>
        <w:textAlignment w:val="bottom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</w:p>
    <w:p w14:paraId="5529A7AB" w14:textId="77777777" w:rsidR="00EC3A1D" w:rsidRPr="00EC3A1D" w:rsidRDefault="00EC3A1D" w:rsidP="006E05DD">
      <w:pPr>
        <w:widowControl/>
        <w:shd w:val="clear" w:color="auto" w:fill="F5F5F5"/>
        <w:spacing w:line="440" w:lineRule="exact"/>
        <w:ind w:left="540" w:right="1080" w:hangingChars="200" w:hanging="540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要　　旨：</w:t>
      </w:r>
    </w:p>
    <w:p w14:paraId="3A12239D" w14:textId="77777777" w:rsidR="00EC3A1D" w:rsidRPr="00EC3A1D" w:rsidRDefault="006E05DD" w:rsidP="00EC3A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信託法第 62、65 條規定參照，倘自益信託委託人死亡為信託關係消滅事由，於信託關係消滅時，剩餘信託財產應移轉於歸屬權利人；信託契約如就委託人死亡後剩餘信託財產歸屬另有約定者，應從其約定，而該約定為信託契約內容一部分，並非委託人之遺囑，與遺囑行為無涉</w:t>
      </w:r>
    </w:p>
    <w:p w14:paraId="64ED055D" w14:textId="77777777" w:rsidR="00EC3A1D" w:rsidRPr="00EC3A1D" w:rsidRDefault="00EC3A1D" w:rsidP="00EC3A1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主    旨：有關信託契約以自益信託委託人死亡為消滅事由，並就委託人死亡後剩餘信託財產另行指定歸屬權利人，是否有涉遺囑行為乙案，復如說明二至四，請查照。</w:t>
      </w:r>
    </w:p>
    <w:p w14:paraId="73F3BDFD" w14:textId="77777777" w:rsidR="005D1377" w:rsidRPr="005D1377" w:rsidRDefault="00EC3A1D" w:rsidP="005D1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說    明：</w:t>
      </w:r>
    </w:p>
    <w:p w14:paraId="68CC80C1" w14:textId="77777777" w:rsidR="005D1377" w:rsidRPr="005D1377" w:rsidRDefault="005D1377" w:rsidP="005D1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1274" w:hangingChars="472" w:hanging="1274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  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一、復貴行 102  年 8  月 26 日銀信乙字第 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10200098251  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號函。</w:t>
      </w:r>
    </w:p>
    <w:p w14:paraId="0874510C" w14:textId="67D70AB4" w:rsidR="005D1377" w:rsidRPr="005D1377" w:rsidRDefault="005D1377" w:rsidP="005D1377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1134" w:hangingChars="420" w:hanging="1134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 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二、按信託法第 2  條規定：「信託，除法律另有規定外，應以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     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契約或遺囑為之。」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契約為雙方行為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，無行為能力人由法定代理人代為訂立契 約（民法第 76 條）；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遺囑則為單獨行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為，且遺囑為遺囑人之最終意思，自須出自其本人之意思，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lastRenderedPageBreak/>
        <w:t>不得由他人代理為之，故無行為能力人不得為遺囑，而為尊重其獨立之意思，只要有遺囑能力，縱為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限制行為能力人，無須經法定代理人之允許，亦得為遺囑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（民法第 1186 條），另為確保遺囑人之真意，民法乃規定遺囑須依法定方式為之（民法第 1189 條）。是以，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契約與遺囑為不同性質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之法律行為，合先敘 明。</w:t>
      </w:r>
    </w:p>
    <w:p w14:paraId="7155E02B" w14:textId="77777777" w:rsidR="00EC3A1D" w:rsidRPr="00EC3A1D" w:rsidRDefault="005D1377" w:rsidP="005D1377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707" w:hangingChars="262" w:hanging="707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三、復按信託法第 62 條規定：「信託關係，因信託行為所定事由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發生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，或因信託目的已完成或不能完成而</w:t>
      </w:r>
      <w:r w:rsidR="00EC3A1D" w:rsidRPr="007D7BDC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消滅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。」</w:t>
      </w:r>
      <w:r w:rsidR="00EC3A1D" w:rsidRPr="00432DC2">
        <w:rPr>
          <w:rFonts w:ascii="標楷體" w:eastAsia="標楷體" w:hAnsi="標楷體" w:cs="細明體" w:hint="eastAsia"/>
          <w:color w:val="0070C0"/>
          <w:kern w:val="0"/>
          <w:sz w:val="27"/>
          <w:szCs w:val="27"/>
        </w:rPr>
        <w:t>第 65 條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規定：「信託關係消滅時，信託財產之歸屬，除信託行為另有訂定外，依左列順序定 之：一、享有全部信託利益之受益人。二、委託人或其繼承人。」若信託係以契約方式為之，信託契約得約定信託關係之消滅事由，並得約定信託關</w:t>
      </w:r>
      <w:r w:rsidR="00EC3A1D" w:rsidRPr="007D7BDC">
        <w:rPr>
          <w:rFonts w:ascii="標楷體" w:eastAsia="標楷體" w:hAnsi="標楷體" w:cs="細明體" w:hint="eastAsia"/>
          <w:b/>
          <w:bCs/>
          <w:color w:val="000000"/>
          <w:kern w:val="0"/>
          <w:sz w:val="27"/>
          <w:szCs w:val="27"/>
        </w:rPr>
        <w:t>係消滅時信託財產之歸屬，並不以信託契約之受益人、委託人或其繼承人為限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，如未約定者，則依信託法第 65 條之順序定之。倘自益信託委託人死亡為信託關係消滅事由，於信託關係消滅時，剩餘信託財產應移轉於歸屬權利人；信託契約如就委託人死亡後剩餘信託財產之歸屬另有約定者，應從其約定，而該</w:t>
      </w:r>
      <w:r w:rsidR="00EC3A1D" w:rsidRPr="00432DC2">
        <w:rPr>
          <w:rFonts w:ascii="標楷體" w:eastAsia="標楷體" w:hAnsi="標楷體" w:cs="細明體" w:hint="eastAsia"/>
          <w:color w:val="EE0000"/>
          <w:kern w:val="0"/>
          <w:sz w:val="27"/>
          <w:szCs w:val="27"/>
        </w:rPr>
        <w:t>約定為信託契約內容之一部分，並非委託人之遺囑，與遺囑行為無涉。</w:t>
      </w:r>
    </w:p>
    <w:p w14:paraId="0685D546" w14:textId="77777777" w:rsidR="00EC3A1D" w:rsidRPr="00EC3A1D" w:rsidRDefault="005D1377" w:rsidP="005D1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四、惟依民法第 14 條第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1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項規定受監護宣告之人均為精神障礙或</w:t>
      </w:r>
      <w:r w:rsidRPr="005D1377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 xml:space="preserve"> 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心智缺陷者，其監護人之職務著重在護養療治，使受監護宣告之人健康得以回復為目的（林秀雄，親屬法講義，2012  年 7  月，頁 368），故民法第 1112 條規定：「監護人於執行有關受監護人之生活、護養療治及財產管理之職務時，應尊重受監護人之意思，並考量其身心狀態與生活狀況。」又依民法第 1113 條規定：「成年人之監護，除本節有規定者外，準用關於未成年人監護之規定。」第 1101 條第 1項規定：「監護人對於受監護人之財產，非為受監護人之利益，不得使用、代為或同意處分。」是以，監護人於其職務範圍內，對於受監護人之財產，非為受監護人之利益，不得使用、代為或同意處分。而監護人代理受監護人簽訂保險金信託契約，於信託契約內代為指定剩 餘信託財產歸屬權利人，此一「代為指定」之行為是否為上開監護人之職務範</w:t>
      </w:r>
      <w:r w:rsidR="00EC3A1D"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lastRenderedPageBreak/>
        <w:t>圍？是否係為受監護人之利益所為？均非無疑，恐生爭議，              併此敘明。</w:t>
      </w:r>
    </w:p>
    <w:p w14:paraId="57539773" w14:textId="77777777" w:rsidR="00EC3A1D" w:rsidRPr="00EC3A1D" w:rsidRDefault="00EC3A1D" w:rsidP="005D1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正    本：臺灣銀行</w:t>
      </w:r>
    </w:p>
    <w:p w14:paraId="3CE5F962" w14:textId="77777777" w:rsidR="00EC3A1D" w:rsidRPr="00EC3A1D" w:rsidRDefault="00EC3A1D" w:rsidP="005D13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="540" w:hangingChars="200" w:hanging="540"/>
        <w:textAlignment w:val="top"/>
        <w:rPr>
          <w:rFonts w:ascii="標楷體" w:eastAsia="標楷體" w:hAnsi="標楷體" w:cs="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細明體" w:hint="eastAsia"/>
          <w:color w:val="000000"/>
          <w:kern w:val="0"/>
          <w:sz w:val="27"/>
          <w:szCs w:val="27"/>
        </w:rPr>
        <w:t>副    本：本部資訊處（第 1  類）、本部法律事務司（4 份）</w:t>
      </w:r>
    </w:p>
    <w:p w14:paraId="5D9CFFF0" w14:textId="77777777" w:rsidR="00EC3A1D" w:rsidRPr="00EC3A1D" w:rsidRDefault="00EC3A1D" w:rsidP="005D1377">
      <w:pPr>
        <w:widowControl/>
        <w:shd w:val="clear" w:color="auto" w:fill="F5F5F5"/>
        <w:spacing w:line="440" w:lineRule="exact"/>
        <w:ind w:left="540" w:hangingChars="200" w:hanging="540"/>
        <w:jc w:val="right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資料來源：</w:t>
      </w:r>
    </w:p>
    <w:p w14:paraId="6B138422" w14:textId="77777777" w:rsidR="00EC3A1D" w:rsidRPr="00EC3A1D" w:rsidRDefault="00EC3A1D" w:rsidP="005D1377">
      <w:pPr>
        <w:widowControl/>
        <w:spacing w:line="440" w:lineRule="exact"/>
        <w:ind w:left="540" w:hangingChars="200" w:hanging="540"/>
        <w:textAlignment w:val="top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EC3A1D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法務部</w:t>
      </w:r>
    </w:p>
    <w:p w14:paraId="66C10668" w14:textId="77777777" w:rsidR="00EC3A1D" w:rsidRPr="005D1377" w:rsidRDefault="00EC3A1D" w:rsidP="005D1377">
      <w:pPr>
        <w:spacing w:line="440" w:lineRule="exact"/>
        <w:ind w:left="480" w:hangingChars="200" w:hanging="480"/>
        <w:rPr>
          <w:rFonts w:ascii="標楷體" w:eastAsia="標楷體" w:hAnsi="標楷體"/>
        </w:rPr>
      </w:pPr>
    </w:p>
    <w:sectPr w:rsidR="00EC3A1D" w:rsidRPr="005D13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BB05D" w14:textId="77777777" w:rsidR="00B44ED1" w:rsidRDefault="00B44ED1" w:rsidP="007D7BDC">
      <w:r>
        <w:separator/>
      </w:r>
    </w:p>
  </w:endnote>
  <w:endnote w:type="continuationSeparator" w:id="0">
    <w:p w14:paraId="388DFDE6" w14:textId="77777777" w:rsidR="00B44ED1" w:rsidRDefault="00B44ED1" w:rsidP="007D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7EEA" w14:textId="77777777" w:rsidR="00B44ED1" w:rsidRDefault="00B44ED1" w:rsidP="007D7BDC">
      <w:r>
        <w:separator/>
      </w:r>
    </w:p>
  </w:footnote>
  <w:footnote w:type="continuationSeparator" w:id="0">
    <w:p w14:paraId="32D268D6" w14:textId="77777777" w:rsidR="00B44ED1" w:rsidRDefault="00B44ED1" w:rsidP="007D7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F18D0"/>
    <w:multiLevelType w:val="multilevel"/>
    <w:tmpl w:val="0CD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20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EA3"/>
    <w:rsid w:val="000B1EA3"/>
    <w:rsid w:val="00343A25"/>
    <w:rsid w:val="00377062"/>
    <w:rsid w:val="00432DC2"/>
    <w:rsid w:val="005D1377"/>
    <w:rsid w:val="006C21FA"/>
    <w:rsid w:val="006E05DD"/>
    <w:rsid w:val="007D7BDC"/>
    <w:rsid w:val="00B44ED1"/>
    <w:rsid w:val="00C24356"/>
    <w:rsid w:val="00DC4FF6"/>
    <w:rsid w:val="00E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FDD89"/>
  <w15:chartTrackingRefBased/>
  <w15:docId w15:val="{4F9E1D23-F18A-40EC-880F-71F9E6D6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7B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7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7B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1263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4303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884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5773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9595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4090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7415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CCCC"/>
                  </w:divBdr>
                </w:div>
                <w:div w:id="11980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0465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5598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3075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5572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3711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302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8578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219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3312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392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282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8349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CCCC"/>
                  </w:divBdr>
                </w:div>
                <w:div w:id="13765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610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14190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055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677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CCCCCC"/>
              </w:divBdr>
            </w:div>
            <w:div w:id="18989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law.moj.gov.tw/LawRelaShow.aspx?id=FE262902&amp;type=e&amp;ecode=I00100&amp;edate=20131021&amp;eno=10203511570&amp;ecase=%E6%B3%95%E5%BE%8B&amp;relateLawName=%E6%B3%95%E5%BE%8B%E5%AD%97%E7%AC%AC%2010203511570%20%E8%99%9F&amp;tbl=fere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jlaw.moj.gov.tw/LawRelaShow.aspx?id=FE262902&amp;type=e&amp;ecode=I00100&amp;edate=20131021&amp;eno=10203511570&amp;ecase=%E6%B3%95%E5%BE%8B&amp;relateLawName=%E6%B3%95%E5%BE%8B%E5%AD%97%E7%AC%AC%2010203511570%20%E8%99%9F&amp;tbl=ferela&amp;lsid=FL022060&amp;ldate=20091230&amp;nh=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jlaw.moj.gov.tw/LawRelaShow.aspx?id=FE262902&amp;type=e&amp;ecode=I00100&amp;edate=20131021&amp;eno=10203511570&amp;ecase=%E6%B3%95%E5%BE%8B&amp;relateLawName=%E6%B3%95%E5%BE%8B%E5%AD%97%E7%AC%AC%2010203511570%20%E8%99%9F&amp;tbl=ferela&amp;lsid=FL022060&amp;ldate=20091230&amp;nh=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jlaw.moj.gov.tw/LawRelaShow.aspx?id=FE262902&amp;type=e&amp;ecode=I00100&amp;edate=20131021&amp;eno=10203511570&amp;ecase=%E6%B3%95%E5%BE%8B&amp;relateLawName=%E6%B3%95%E5%BE%8B%E5%AD%97%E7%AC%AC%2010203511570%20%E8%99%9F&amp;tbl=ferela&amp;lsid=FL001351&amp;ldate=20121226&amp;nh=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0108許 連景</cp:lastModifiedBy>
  <cp:revision>3</cp:revision>
  <dcterms:created xsi:type="dcterms:W3CDTF">2026-07-27T13:42:00Z</dcterms:created>
  <dcterms:modified xsi:type="dcterms:W3CDTF">2026-07-27T13:43:00Z</dcterms:modified>
</cp:coreProperties>
</file>